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08" w:rsidRPr="00E41908" w:rsidRDefault="00E41908" w:rsidP="00E41908">
      <w:pPr>
        <w:pStyle w:val="a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41908" w:rsidRDefault="00E41908" w:rsidP="00E41908">
      <w:pPr>
        <w:pStyle w:val="a4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41908" w:rsidRPr="00E41908" w:rsidRDefault="00E41908" w:rsidP="00E41908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41908">
        <w:rPr>
          <w:rFonts w:ascii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E41908" w:rsidRPr="00E41908" w:rsidRDefault="00E41908" w:rsidP="00E41908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zh-CN" w:bidi="ru-RU"/>
        </w:rPr>
      </w:pPr>
      <w:r w:rsidRPr="00E41908">
        <w:rPr>
          <w:rFonts w:ascii="Times New Roman" w:hAnsi="Times New Roman" w:cs="Times New Roman"/>
          <w:b/>
          <w:sz w:val="24"/>
          <w:szCs w:val="24"/>
          <w:lang w:eastAsia="zh-CN" w:bidi="ru-RU"/>
        </w:rPr>
        <w:t xml:space="preserve">Ученого совета Энгельсского технологического института (филиала) </w:t>
      </w:r>
    </w:p>
    <w:p w:rsidR="00E41908" w:rsidRPr="00E41908" w:rsidRDefault="00E41908" w:rsidP="00E41908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zh-CN" w:bidi="ru-RU"/>
        </w:rPr>
      </w:pPr>
      <w:r w:rsidRPr="00E41908">
        <w:rPr>
          <w:rFonts w:ascii="Times New Roman" w:hAnsi="Times New Roman" w:cs="Times New Roman"/>
          <w:b/>
          <w:sz w:val="24"/>
          <w:szCs w:val="24"/>
          <w:lang w:eastAsia="zh-CN" w:bidi="ru-RU"/>
        </w:rPr>
        <w:t>ФГБОУ ВО «СГТУ имени Гагарина Ю.А.»</w:t>
      </w:r>
    </w:p>
    <w:p w:rsidR="00E41908" w:rsidRPr="00E41908" w:rsidRDefault="00E41908" w:rsidP="00E41908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zh-CN" w:bidi="ru-RU"/>
        </w:rPr>
      </w:pPr>
      <w:r w:rsidRPr="00E41908">
        <w:rPr>
          <w:rFonts w:ascii="Times New Roman" w:hAnsi="Times New Roman" w:cs="Times New Roman"/>
          <w:b/>
          <w:sz w:val="24"/>
          <w:szCs w:val="24"/>
          <w:lang w:eastAsia="zh-CN" w:bidi="ru-RU"/>
        </w:rPr>
        <w:t>по вопросу</w:t>
      </w:r>
    </w:p>
    <w:p w:rsidR="004D1303" w:rsidRPr="00E41908" w:rsidRDefault="00E41908" w:rsidP="00E41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303" w:rsidRPr="00E41908">
        <w:rPr>
          <w:rFonts w:ascii="Times New Roman" w:hAnsi="Times New Roman" w:cs="Times New Roman"/>
          <w:b/>
          <w:sz w:val="24"/>
          <w:szCs w:val="24"/>
        </w:rPr>
        <w:t xml:space="preserve">«Итоги промежуточной аттестации студентов во втором семестре </w:t>
      </w:r>
    </w:p>
    <w:p w:rsidR="004D1303" w:rsidRPr="00E41908" w:rsidRDefault="004D1303" w:rsidP="004D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08">
        <w:rPr>
          <w:rFonts w:ascii="Times New Roman" w:hAnsi="Times New Roman" w:cs="Times New Roman"/>
          <w:b/>
          <w:sz w:val="24"/>
          <w:szCs w:val="24"/>
        </w:rPr>
        <w:t>2019/2020 учебного года</w:t>
      </w:r>
      <w:r w:rsidR="002F5E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5E7C" w:rsidRPr="002F5E7C">
        <w:rPr>
          <w:rFonts w:ascii="Times New Roman" w:hAnsi="Times New Roman" w:cs="Times New Roman"/>
          <w:b/>
          <w:sz w:val="24"/>
          <w:szCs w:val="24"/>
        </w:rPr>
        <w:t>Итоги государственной аттестации выпускников. Итоги летних практик студентов в 2019/2020 учебном году</w:t>
      </w:r>
      <w:r w:rsidRPr="00E41908">
        <w:rPr>
          <w:rFonts w:ascii="Times New Roman" w:hAnsi="Times New Roman" w:cs="Times New Roman"/>
          <w:b/>
          <w:sz w:val="24"/>
          <w:szCs w:val="24"/>
        </w:rPr>
        <w:t>»</w:t>
      </w:r>
    </w:p>
    <w:p w:rsidR="00256DA0" w:rsidRPr="00D33B38" w:rsidRDefault="00256DA0" w:rsidP="004D13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908" w:rsidRDefault="004D1303" w:rsidP="004D130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 xml:space="preserve">от </w:t>
      </w:r>
      <w:r w:rsidR="00FE275F" w:rsidRPr="00E41908">
        <w:rPr>
          <w:rFonts w:ascii="Times New Roman" w:hAnsi="Times New Roman" w:cs="Times New Roman"/>
          <w:sz w:val="24"/>
          <w:szCs w:val="24"/>
        </w:rPr>
        <w:t xml:space="preserve">28 </w:t>
      </w:r>
      <w:r w:rsidRPr="00D33B38">
        <w:rPr>
          <w:rFonts w:ascii="Times New Roman" w:hAnsi="Times New Roman" w:cs="Times New Roman"/>
          <w:sz w:val="24"/>
          <w:szCs w:val="24"/>
        </w:rPr>
        <w:t>октября 2020 г</w:t>
      </w:r>
      <w:r w:rsidR="00E41908">
        <w:rPr>
          <w:rFonts w:ascii="Times New Roman" w:hAnsi="Times New Roman" w:cs="Times New Roman"/>
          <w:sz w:val="24"/>
          <w:szCs w:val="24"/>
        </w:rPr>
        <w:t>.</w:t>
      </w:r>
    </w:p>
    <w:p w:rsidR="00E41908" w:rsidRDefault="00E41908" w:rsidP="004D1303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D1303" w:rsidRPr="00D33B38" w:rsidRDefault="004D1303" w:rsidP="004D13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Заслушав и обсудив сообщение заместителя директора по учебной работе Рябову О.В. об итогах промежуточной аттестации студентов во втором семестре 2019/2020 учебного года, Ученый совет отмечает, что аттестация прошла в сроки, установленные календарным графиком учебного процесса и приказом директора № 136-</w:t>
      </w:r>
      <w:proofErr w:type="gramStart"/>
      <w:r w:rsidRPr="00D33B38">
        <w:rPr>
          <w:rFonts w:ascii="Times New Roman" w:hAnsi="Times New Roman" w:cs="Times New Roman"/>
          <w:sz w:val="24"/>
          <w:szCs w:val="24"/>
        </w:rPr>
        <w:t>П  от</w:t>
      </w:r>
      <w:proofErr w:type="gramEnd"/>
      <w:r w:rsidRPr="00D33B38">
        <w:rPr>
          <w:rFonts w:ascii="Times New Roman" w:hAnsi="Times New Roman" w:cs="Times New Roman"/>
          <w:sz w:val="24"/>
          <w:szCs w:val="24"/>
        </w:rPr>
        <w:t xml:space="preserve"> 07.05.2020 г. «О промежуточной аттестации студентов по итогам 2 семестра 2019/2020 учебного года» и в соответствии с Положением о порядке контроля учебной работы студентов СГТУ имени Гагарина Ю.А.</w:t>
      </w:r>
    </w:p>
    <w:p w:rsidR="004D1303" w:rsidRPr="00D33B38" w:rsidRDefault="004D1303" w:rsidP="004D1303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Прием зачетов и экзаменов проводился в дни, установленные расписанием экзаменационной сессии с применением дистанционных технологий. Прием зачетов, предусмотренных учебными планами, проводился в дни, установленные расписанием по учебным группам в соответствии с приказом дире</w:t>
      </w:r>
      <w:r w:rsidR="00D33B38" w:rsidRPr="00D33B38">
        <w:rPr>
          <w:rFonts w:ascii="Times New Roman" w:hAnsi="Times New Roman" w:cs="Times New Roman"/>
          <w:sz w:val="24"/>
          <w:szCs w:val="24"/>
        </w:rPr>
        <w:t>ктора №136-Пот 07.05.2020</w:t>
      </w:r>
      <w:r w:rsidRPr="00D33B38">
        <w:rPr>
          <w:rFonts w:ascii="Times New Roman" w:hAnsi="Times New Roman" w:cs="Times New Roman"/>
          <w:sz w:val="24"/>
          <w:szCs w:val="24"/>
        </w:rPr>
        <w:t xml:space="preserve"> г. сроки. Защита курсовых проектов, курсовых работ, расчетно-графических работ проходила по расписанию, утвержденному заведующим кафедрой. Защита курсовых проектов и курсовых работ принималась комиссиями, состав которых утверждался заведующим кафедрой.</w:t>
      </w:r>
    </w:p>
    <w:p w:rsidR="00D33B38" w:rsidRPr="00D33B38" w:rsidRDefault="00D33B38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 xml:space="preserve">В промежуточной </w:t>
      </w:r>
      <w:r w:rsidR="00256DA0">
        <w:rPr>
          <w:rFonts w:ascii="Times New Roman" w:hAnsi="Times New Roman" w:cs="Times New Roman"/>
          <w:sz w:val="24"/>
          <w:szCs w:val="24"/>
        </w:rPr>
        <w:t>аттестации принимали участие 747</w:t>
      </w:r>
      <w:r w:rsidRPr="00D33B38">
        <w:rPr>
          <w:rFonts w:ascii="Times New Roman" w:hAnsi="Times New Roman" w:cs="Times New Roman"/>
          <w:sz w:val="24"/>
          <w:szCs w:val="24"/>
        </w:rPr>
        <w:t xml:space="preserve"> студе</w:t>
      </w:r>
      <w:r w:rsidR="00256DA0">
        <w:rPr>
          <w:rFonts w:ascii="Times New Roman" w:hAnsi="Times New Roman" w:cs="Times New Roman"/>
          <w:sz w:val="24"/>
          <w:szCs w:val="24"/>
        </w:rPr>
        <w:t>нтов института, в том числе 148 студентов очной и 599</w:t>
      </w:r>
      <w:r w:rsidRPr="00D33B38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D33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33B38">
        <w:rPr>
          <w:rFonts w:ascii="Times New Roman" w:hAnsi="Times New Roman" w:cs="Times New Roman"/>
          <w:sz w:val="24"/>
          <w:szCs w:val="24"/>
        </w:rPr>
        <w:t>заочной формы обучения, включая студентов заочной формы по индивидуальному плану ускоренного обучения.</w:t>
      </w:r>
    </w:p>
    <w:p w:rsidR="00D33B38" w:rsidRDefault="00D33B38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Анализ результатов промежуточной аттестации студентов</w:t>
      </w:r>
      <w:r w:rsidRPr="00D33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B38">
        <w:rPr>
          <w:rFonts w:ascii="Times New Roman" w:hAnsi="Times New Roman" w:cs="Times New Roman"/>
          <w:bCs/>
          <w:sz w:val="24"/>
          <w:szCs w:val="24"/>
        </w:rPr>
        <w:t>очной и заочной форм обучения</w:t>
      </w:r>
      <w:r w:rsidR="00E27EFD">
        <w:rPr>
          <w:rFonts w:ascii="Times New Roman" w:hAnsi="Times New Roman" w:cs="Times New Roman"/>
          <w:sz w:val="24"/>
          <w:szCs w:val="24"/>
        </w:rPr>
        <w:t xml:space="preserve"> за последние пять лет представлен в таблице 1</w:t>
      </w:r>
      <w:r w:rsidRPr="00D33B38">
        <w:rPr>
          <w:rFonts w:ascii="Times New Roman" w:hAnsi="Times New Roman" w:cs="Times New Roman"/>
          <w:sz w:val="24"/>
          <w:szCs w:val="24"/>
        </w:rPr>
        <w:t xml:space="preserve">. </w:t>
      </w:r>
      <w:r w:rsidR="00E27EFD" w:rsidRPr="00447F73">
        <w:rPr>
          <w:rFonts w:ascii="Times New Roman" w:hAnsi="Times New Roman" w:cs="Times New Roman"/>
          <w:sz w:val="24"/>
          <w:szCs w:val="24"/>
        </w:rPr>
        <w:t xml:space="preserve">По сравнению с прошлым годом по состоянию на момент окончания промежуточной аттестации наблюдается </w:t>
      </w:r>
      <w:r w:rsidR="00E27EFD">
        <w:rPr>
          <w:rFonts w:ascii="Times New Roman" w:hAnsi="Times New Roman" w:cs="Times New Roman"/>
          <w:sz w:val="24"/>
          <w:szCs w:val="24"/>
        </w:rPr>
        <w:t>спад</w:t>
      </w:r>
      <w:r w:rsidR="00E27EFD" w:rsidRPr="00447F73">
        <w:rPr>
          <w:rFonts w:ascii="Times New Roman" w:hAnsi="Times New Roman" w:cs="Times New Roman"/>
          <w:sz w:val="24"/>
          <w:szCs w:val="24"/>
        </w:rPr>
        <w:t xml:space="preserve"> процента успевающих студентов</w:t>
      </w:r>
      <w:r w:rsidR="00E27EFD">
        <w:rPr>
          <w:rFonts w:ascii="Times New Roman" w:hAnsi="Times New Roman" w:cs="Times New Roman"/>
          <w:sz w:val="24"/>
          <w:szCs w:val="24"/>
        </w:rPr>
        <w:t xml:space="preserve"> </w:t>
      </w:r>
      <w:r w:rsidR="00E27EFD" w:rsidRPr="00447F73">
        <w:rPr>
          <w:rFonts w:ascii="Times New Roman" w:hAnsi="Times New Roman" w:cs="Times New Roman"/>
          <w:sz w:val="24"/>
          <w:szCs w:val="24"/>
        </w:rPr>
        <w:t>по очной фор</w:t>
      </w:r>
      <w:r w:rsidR="00E27EFD">
        <w:rPr>
          <w:rFonts w:ascii="Times New Roman" w:hAnsi="Times New Roman" w:cs="Times New Roman"/>
          <w:sz w:val="24"/>
          <w:szCs w:val="24"/>
        </w:rPr>
        <w:t xml:space="preserve">ме. По </w:t>
      </w:r>
      <w:r w:rsidR="00E27EFD" w:rsidRPr="00447F73">
        <w:rPr>
          <w:rFonts w:ascii="Times New Roman" w:hAnsi="Times New Roman" w:cs="Times New Roman"/>
          <w:sz w:val="24"/>
          <w:szCs w:val="24"/>
        </w:rPr>
        <w:t>заочной форм</w:t>
      </w:r>
      <w:r w:rsidR="00E27EFD">
        <w:rPr>
          <w:rFonts w:ascii="Times New Roman" w:hAnsi="Times New Roman" w:cs="Times New Roman"/>
          <w:sz w:val="24"/>
          <w:szCs w:val="24"/>
        </w:rPr>
        <w:t>е</w:t>
      </w:r>
      <w:r w:rsidR="00E27EFD" w:rsidRPr="00447F73">
        <w:rPr>
          <w:rFonts w:ascii="Times New Roman" w:hAnsi="Times New Roman" w:cs="Times New Roman"/>
          <w:sz w:val="24"/>
          <w:szCs w:val="24"/>
        </w:rPr>
        <w:t xml:space="preserve"> обучения (в том числе заочной по индивидуальному плану ускоренного обучения)</w:t>
      </w:r>
      <w:r w:rsidR="00E27EFD">
        <w:rPr>
          <w:rFonts w:ascii="Times New Roman" w:hAnsi="Times New Roman" w:cs="Times New Roman"/>
          <w:sz w:val="24"/>
          <w:szCs w:val="24"/>
        </w:rPr>
        <w:t xml:space="preserve"> процент успеваемости по промежуточной аттестации </w:t>
      </w:r>
      <w:r w:rsidR="00A40543">
        <w:rPr>
          <w:rFonts w:ascii="Times New Roman" w:hAnsi="Times New Roman" w:cs="Times New Roman"/>
          <w:sz w:val="24"/>
          <w:szCs w:val="24"/>
        </w:rPr>
        <w:t xml:space="preserve">чуть </w:t>
      </w:r>
      <w:r w:rsidR="00E27EFD">
        <w:rPr>
          <w:rFonts w:ascii="Times New Roman" w:hAnsi="Times New Roman" w:cs="Times New Roman"/>
          <w:sz w:val="24"/>
          <w:szCs w:val="24"/>
        </w:rPr>
        <w:t>выше по сравнению с прошлым годом.</w:t>
      </w:r>
    </w:p>
    <w:p w:rsidR="00256DA0" w:rsidRDefault="00256DA0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79EE" w:rsidRPr="00D33B38" w:rsidRDefault="00D979EE" w:rsidP="00D979EE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Таблица 1</w:t>
      </w:r>
    </w:p>
    <w:p w:rsidR="00D979EE" w:rsidRPr="00D33B38" w:rsidRDefault="00D979EE" w:rsidP="00D97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результатов летней</w:t>
      </w:r>
      <w:r w:rsidRPr="00D33B38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студентов</w:t>
      </w:r>
    </w:p>
    <w:p w:rsidR="00D979EE" w:rsidRDefault="00D979EE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89"/>
        <w:gridCol w:w="888"/>
        <w:gridCol w:w="888"/>
        <w:gridCol w:w="790"/>
        <w:gridCol w:w="865"/>
        <w:gridCol w:w="928"/>
        <w:gridCol w:w="888"/>
        <w:gridCol w:w="888"/>
        <w:gridCol w:w="763"/>
        <w:gridCol w:w="829"/>
      </w:tblGrid>
      <w:tr w:rsidR="00D979EE" w:rsidRPr="00D33B38" w:rsidTr="00FE275F">
        <w:tc>
          <w:tcPr>
            <w:tcW w:w="1008" w:type="dxa"/>
            <w:vMerge w:val="restart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обуче-ния</w:t>
            </w:r>
            <w:proofErr w:type="spellEnd"/>
            <w:proofErr w:type="gramEnd"/>
          </w:p>
        </w:tc>
        <w:tc>
          <w:tcPr>
            <w:tcW w:w="4320" w:type="dxa"/>
            <w:gridSpan w:val="5"/>
            <w:shd w:val="clear" w:color="auto" w:fill="auto"/>
          </w:tcPr>
          <w:p w:rsidR="00D979EE" w:rsidRPr="00D33B38" w:rsidRDefault="00D979EE" w:rsidP="00FE275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сессии (%)</w:t>
            </w:r>
          </w:p>
        </w:tc>
        <w:tc>
          <w:tcPr>
            <w:tcW w:w="4296" w:type="dxa"/>
            <w:gridSpan w:val="5"/>
            <w:shd w:val="clear" w:color="auto" w:fill="auto"/>
          </w:tcPr>
          <w:p w:rsidR="00D979EE" w:rsidRPr="00D33B38" w:rsidRDefault="00D979EE" w:rsidP="00FE275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после срока ликвидации задолженностей (%)</w:t>
            </w:r>
          </w:p>
        </w:tc>
      </w:tr>
      <w:tr w:rsidR="00D979EE" w:rsidRPr="00D33B38" w:rsidTr="00FE275F">
        <w:tc>
          <w:tcPr>
            <w:tcW w:w="1008" w:type="dxa"/>
            <w:vMerge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2015/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2016/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2017/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90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92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2015/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2016/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2017/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3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2018/</w:t>
            </w:r>
          </w:p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9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</w:tr>
      <w:tr w:rsidR="00D979EE" w:rsidRPr="00D33B38" w:rsidTr="00FE275F">
        <w:tc>
          <w:tcPr>
            <w:tcW w:w="100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89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90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865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2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88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63" w:type="dxa"/>
            <w:shd w:val="clear" w:color="auto" w:fill="auto"/>
          </w:tcPr>
          <w:p w:rsidR="00D979EE" w:rsidRPr="00D33B38" w:rsidRDefault="00D979EE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829" w:type="dxa"/>
            <w:shd w:val="clear" w:color="auto" w:fill="auto"/>
          </w:tcPr>
          <w:p w:rsidR="00D979EE" w:rsidRPr="00D33B38" w:rsidRDefault="00BB1DE5" w:rsidP="00BB1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FE275F" w:rsidRPr="00D33B38" w:rsidTr="00FE275F">
        <w:tc>
          <w:tcPr>
            <w:tcW w:w="1008" w:type="dxa"/>
            <w:shd w:val="clear" w:color="auto" w:fill="auto"/>
          </w:tcPr>
          <w:p w:rsidR="00FE275F" w:rsidRPr="00D33B38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889" w:type="dxa"/>
            <w:shd w:val="clear" w:color="auto" w:fill="auto"/>
          </w:tcPr>
          <w:p w:rsidR="00FE275F" w:rsidRPr="00D33B38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88" w:type="dxa"/>
            <w:shd w:val="clear" w:color="auto" w:fill="auto"/>
          </w:tcPr>
          <w:p w:rsidR="00FE275F" w:rsidRPr="00D33B38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888" w:type="dxa"/>
            <w:shd w:val="clear" w:color="auto" w:fill="auto"/>
          </w:tcPr>
          <w:p w:rsidR="00FE275F" w:rsidRPr="00D33B38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0" w:type="dxa"/>
            <w:shd w:val="clear" w:color="auto" w:fill="auto"/>
          </w:tcPr>
          <w:p w:rsidR="00FE275F" w:rsidRPr="00D33B38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65" w:type="dxa"/>
            <w:shd w:val="clear" w:color="auto" w:fill="auto"/>
          </w:tcPr>
          <w:p w:rsidR="00FE275F" w:rsidRPr="00D33B38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</w:p>
        </w:tc>
        <w:tc>
          <w:tcPr>
            <w:tcW w:w="928" w:type="dxa"/>
            <w:shd w:val="clear" w:color="auto" w:fill="auto"/>
          </w:tcPr>
          <w:p w:rsidR="00FE275F" w:rsidRPr="008D4ECB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CB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88" w:type="dxa"/>
            <w:shd w:val="clear" w:color="auto" w:fill="auto"/>
          </w:tcPr>
          <w:p w:rsidR="00FE275F" w:rsidRPr="008D4ECB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CB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888" w:type="dxa"/>
            <w:shd w:val="clear" w:color="auto" w:fill="auto"/>
          </w:tcPr>
          <w:p w:rsidR="00FE275F" w:rsidRPr="008D4ECB" w:rsidRDefault="00FE275F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CB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763" w:type="dxa"/>
            <w:shd w:val="clear" w:color="auto" w:fill="auto"/>
          </w:tcPr>
          <w:p w:rsidR="00FE275F" w:rsidRPr="004E1973" w:rsidRDefault="004E1973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4E197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29" w:type="dxa"/>
            <w:shd w:val="clear" w:color="auto" w:fill="auto"/>
          </w:tcPr>
          <w:p w:rsidR="00FE275F" w:rsidRPr="004E1973" w:rsidRDefault="004E1973" w:rsidP="00FE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73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</w:tbl>
    <w:p w:rsidR="00D979EE" w:rsidRPr="00D33B38" w:rsidRDefault="00D979EE" w:rsidP="00D33B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Default="00D33B38" w:rsidP="00E27E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 xml:space="preserve">Результаты успеваемости по очной форме обучения в разрезе </w:t>
      </w:r>
      <w:proofErr w:type="gramStart"/>
      <w:r w:rsidRPr="00D33B38">
        <w:rPr>
          <w:rFonts w:ascii="Times New Roman" w:hAnsi="Times New Roman" w:cs="Times New Roman"/>
          <w:sz w:val="24"/>
          <w:szCs w:val="24"/>
        </w:rPr>
        <w:t>курсов  на</w:t>
      </w:r>
      <w:proofErr w:type="gramEnd"/>
      <w:r w:rsidRPr="00D33B38">
        <w:rPr>
          <w:rFonts w:ascii="Times New Roman" w:hAnsi="Times New Roman" w:cs="Times New Roman"/>
          <w:sz w:val="24"/>
          <w:szCs w:val="24"/>
        </w:rPr>
        <w:t xml:space="preserve"> конец </w:t>
      </w:r>
      <w:r w:rsidR="00E27EFD">
        <w:rPr>
          <w:rFonts w:ascii="Times New Roman" w:hAnsi="Times New Roman" w:cs="Times New Roman"/>
          <w:sz w:val="24"/>
          <w:szCs w:val="24"/>
        </w:rPr>
        <w:t xml:space="preserve">зачетной недели, </w:t>
      </w:r>
      <w:r w:rsidRPr="00D33B38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E27EFD">
        <w:rPr>
          <w:rFonts w:ascii="Times New Roman" w:hAnsi="Times New Roman" w:cs="Times New Roman"/>
          <w:sz w:val="24"/>
          <w:szCs w:val="24"/>
        </w:rPr>
        <w:t>и после окончания сроков пересдачи представлены в таблице 2.</w:t>
      </w:r>
    </w:p>
    <w:p w:rsidR="00E27EFD" w:rsidRDefault="00E27EFD" w:rsidP="00E27EFD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7EFD" w:rsidRPr="00D33B38" w:rsidRDefault="00E27EFD" w:rsidP="00E27EFD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E27EFD" w:rsidRPr="00D33B38" w:rsidRDefault="00E27EFD" w:rsidP="00E27EFD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ходе летней</w:t>
      </w:r>
      <w:r w:rsidRPr="00D33B38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 2019-2020 учебного года студентов очной формы обучения ЭТИ </w:t>
      </w:r>
    </w:p>
    <w:p w:rsidR="00E27EFD" w:rsidRDefault="00E27EFD" w:rsidP="00E27EFD">
      <w:pPr>
        <w:ind w:right="1"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567"/>
        <w:gridCol w:w="567"/>
        <w:gridCol w:w="709"/>
        <w:gridCol w:w="567"/>
      </w:tblGrid>
      <w:tr w:rsidR="00E27EFD" w:rsidTr="00EA3A49">
        <w:tc>
          <w:tcPr>
            <w:tcW w:w="3652" w:type="dxa"/>
            <w:gridSpan w:val="5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После окончания зачетной недели</w:t>
            </w:r>
          </w:p>
        </w:tc>
        <w:tc>
          <w:tcPr>
            <w:tcW w:w="3260" w:type="dxa"/>
            <w:gridSpan w:val="5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После окончания сессии</w:t>
            </w:r>
          </w:p>
        </w:tc>
        <w:tc>
          <w:tcPr>
            <w:tcW w:w="3119" w:type="dxa"/>
            <w:gridSpan w:val="5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После окончания сроков пересдачи</w:t>
            </w:r>
          </w:p>
        </w:tc>
      </w:tr>
      <w:tr w:rsidR="00E27EFD" w:rsidTr="00EA3A49">
        <w:tc>
          <w:tcPr>
            <w:tcW w:w="817" w:type="dxa"/>
            <w:vMerge w:val="restart"/>
          </w:tcPr>
          <w:p w:rsidR="00E27EFD" w:rsidRDefault="00E27EFD" w:rsidP="00EA3A49"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835" w:type="dxa"/>
            <w:gridSpan w:val="4"/>
          </w:tcPr>
          <w:p w:rsidR="00E27EFD" w:rsidRDefault="00E27EFD" w:rsidP="00EA3A49">
            <w:pPr>
              <w:jc w:val="center"/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 курсам</w:t>
            </w:r>
          </w:p>
        </w:tc>
        <w:tc>
          <w:tcPr>
            <w:tcW w:w="709" w:type="dxa"/>
            <w:vMerge w:val="restart"/>
          </w:tcPr>
          <w:p w:rsidR="00E27EFD" w:rsidRDefault="00E27EFD" w:rsidP="00EA3A49"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551" w:type="dxa"/>
            <w:gridSpan w:val="4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 курсам</w:t>
            </w:r>
          </w:p>
        </w:tc>
        <w:tc>
          <w:tcPr>
            <w:tcW w:w="709" w:type="dxa"/>
            <w:vMerge w:val="restart"/>
          </w:tcPr>
          <w:p w:rsidR="00E27EFD" w:rsidRDefault="00E27EFD" w:rsidP="00EA3A49"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2410" w:type="dxa"/>
            <w:gridSpan w:val="4"/>
          </w:tcPr>
          <w:p w:rsidR="00E27EFD" w:rsidRDefault="00E27EFD" w:rsidP="00EA3A49"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по курсам</w:t>
            </w:r>
          </w:p>
        </w:tc>
      </w:tr>
      <w:tr w:rsidR="00E27EFD" w:rsidTr="00EA3A49">
        <w:tc>
          <w:tcPr>
            <w:tcW w:w="817" w:type="dxa"/>
            <w:vMerge/>
          </w:tcPr>
          <w:p w:rsidR="00E27EFD" w:rsidRDefault="00E27EFD" w:rsidP="00EA3A49"/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/>
          </w:tcPr>
          <w:p w:rsidR="00E27EFD" w:rsidRDefault="00E27EFD" w:rsidP="00EA3A49"/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Merge/>
          </w:tcPr>
          <w:p w:rsidR="00E27EFD" w:rsidRDefault="00E27EFD" w:rsidP="00EA3A49"/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E27EFD" w:rsidTr="00EA3A49">
        <w:tc>
          <w:tcPr>
            <w:tcW w:w="81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81,6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78,7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68, 5</w:t>
            </w:r>
          </w:p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93,4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77,7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08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09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92,6</w:t>
            </w:r>
          </w:p>
        </w:tc>
        <w:tc>
          <w:tcPr>
            <w:tcW w:w="567" w:type="dxa"/>
            <w:vAlign w:val="center"/>
          </w:tcPr>
          <w:p w:rsidR="00E27EFD" w:rsidRPr="00235631" w:rsidRDefault="00E27EFD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5631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E27EFD" w:rsidRPr="00D33B38" w:rsidRDefault="00E27EFD" w:rsidP="00E27E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E27EFD" w:rsidRDefault="00D33B38" w:rsidP="00D33B38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FD">
        <w:rPr>
          <w:rFonts w:ascii="Times New Roman" w:hAnsi="Times New Roman" w:cs="Times New Roman"/>
          <w:sz w:val="24"/>
          <w:szCs w:val="24"/>
        </w:rPr>
        <w:t>Сравнительный анализ по курсам показывает, что самая низкая успеваемость на конец сесси</w:t>
      </w:r>
      <w:r w:rsidR="00E27EFD">
        <w:rPr>
          <w:rFonts w:ascii="Times New Roman" w:hAnsi="Times New Roman" w:cs="Times New Roman"/>
          <w:sz w:val="24"/>
          <w:szCs w:val="24"/>
        </w:rPr>
        <w:t>и имели студенты 2 курса</w:t>
      </w:r>
      <w:r w:rsidRPr="00E27E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E80" w:rsidRDefault="00D33B38" w:rsidP="00D33B38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FD">
        <w:rPr>
          <w:rFonts w:ascii="Times New Roman" w:hAnsi="Times New Roman" w:cs="Times New Roman"/>
          <w:sz w:val="24"/>
          <w:szCs w:val="24"/>
        </w:rPr>
        <w:t xml:space="preserve">После сроков </w:t>
      </w:r>
      <w:r w:rsidR="00E27EFD">
        <w:rPr>
          <w:rFonts w:ascii="Times New Roman" w:hAnsi="Times New Roman" w:cs="Times New Roman"/>
          <w:sz w:val="24"/>
          <w:szCs w:val="24"/>
        </w:rPr>
        <w:t>ликвидации задолженностей</w:t>
      </w:r>
      <w:r w:rsidRPr="00E27EFD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27EFD">
        <w:rPr>
          <w:rFonts w:ascii="Times New Roman" w:hAnsi="Times New Roman" w:cs="Times New Roman"/>
          <w:sz w:val="24"/>
          <w:szCs w:val="24"/>
        </w:rPr>
        <w:t>ы</w:t>
      </w:r>
      <w:r w:rsidRPr="00E27EFD">
        <w:rPr>
          <w:rFonts w:ascii="Times New Roman" w:hAnsi="Times New Roman" w:cs="Times New Roman"/>
          <w:sz w:val="24"/>
          <w:szCs w:val="24"/>
        </w:rPr>
        <w:t xml:space="preserve"> 4 курса имеют стопроцентную успеваемость. Самая низ</w:t>
      </w:r>
      <w:r w:rsidR="00E27EFD">
        <w:rPr>
          <w:rFonts w:ascii="Times New Roman" w:hAnsi="Times New Roman" w:cs="Times New Roman"/>
          <w:sz w:val="24"/>
          <w:szCs w:val="24"/>
        </w:rPr>
        <w:t>кая успеваемость на 1 курсе и на 2 курсе</w:t>
      </w:r>
      <w:r w:rsidRPr="00E27EFD">
        <w:rPr>
          <w:rFonts w:ascii="Times New Roman" w:hAnsi="Times New Roman" w:cs="Times New Roman"/>
          <w:sz w:val="24"/>
          <w:szCs w:val="24"/>
        </w:rPr>
        <w:t xml:space="preserve"> направления НФГД.</w:t>
      </w:r>
      <w:r w:rsidR="00E27EFD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E27EFD">
        <w:rPr>
          <w:rFonts w:ascii="Times New Roman" w:hAnsi="Times New Roman" w:cs="Times New Roman"/>
          <w:sz w:val="24"/>
          <w:szCs w:val="24"/>
        </w:rPr>
        <w:t>студентов</w:t>
      </w:r>
      <w:proofErr w:type="gramEnd"/>
      <w:r w:rsidR="00E27EFD">
        <w:rPr>
          <w:rFonts w:ascii="Times New Roman" w:hAnsi="Times New Roman" w:cs="Times New Roman"/>
          <w:sz w:val="24"/>
          <w:szCs w:val="24"/>
        </w:rPr>
        <w:t xml:space="preserve"> имеющих 3 и более задолженностей </w:t>
      </w:r>
      <w:r w:rsidR="009F3E80">
        <w:rPr>
          <w:rFonts w:ascii="Times New Roman" w:hAnsi="Times New Roman" w:cs="Times New Roman"/>
          <w:sz w:val="24"/>
          <w:szCs w:val="24"/>
        </w:rPr>
        <w:t xml:space="preserve">19,4 %. </w:t>
      </w:r>
    </w:p>
    <w:p w:rsidR="00D33B38" w:rsidRPr="00D33B38" w:rsidRDefault="00D33B38" w:rsidP="00D33B38">
      <w:pPr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FD">
        <w:rPr>
          <w:rFonts w:ascii="Times New Roman" w:hAnsi="Times New Roman" w:cs="Times New Roman"/>
          <w:sz w:val="24"/>
          <w:szCs w:val="24"/>
        </w:rPr>
        <w:t>По результат</w:t>
      </w:r>
      <w:r w:rsidR="009F3E80">
        <w:rPr>
          <w:rFonts w:ascii="Times New Roman" w:hAnsi="Times New Roman" w:cs="Times New Roman"/>
          <w:sz w:val="24"/>
          <w:szCs w:val="24"/>
        </w:rPr>
        <w:t>ам промежуточной аттестации 1</w:t>
      </w:r>
      <w:r w:rsidR="00256DA0">
        <w:rPr>
          <w:rFonts w:ascii="Times New Roman" w:hAnsi="Times New Roman" w:cs="Times New Roman"/>
          <w:sz w:val="24"/>
          <w:szCs w:val="24"/>
        </w:rPr>
        <w:t xml:space="preserve"> неуспевающий</w:t>
      </w:r>
      <w:r w:rsidRPr="00E27EFD">
        <w:rPr>
          <w:rFonts w:ascii="Times New Roman" w:hAnsi="Times New Roman" w:cs="Times New Roman"/>
          <w:sz w:val="24"/>
          <w:szCs w:val="24"/>
        </w:rPr>
        <w:t xml:space="preserve"> студен</w:t>
      </w:r>
      <w:r w:rsidR="00256DA0">
        <w:rPr>
          <w:rFonts w:ascii="Times New Roman" w:hAnsi="Times New Roman" w:cs="Times New Roman"/>
          <w:sz w:val="24"/>
          <w:szCs w:val="24"/>
        </w:rPr>
        <w:t>т</w:t>
      </w:r>
      <w:r w:rsidRPr="00E27EFD">
        <w:rPr>
          <w:rFonts w:ascii="Times New Roman" w:hAnsi="Times New Roman" w:cs="Times New Roman"/>
          <w:sz w:val="24"/>
          <w:szCs w:val="24"/>
        </w:rPr>
        <w:t xml:space="preserve"> института предста</w:t>
      </w:r>
      <w:r w:rsidR="00256DA0">
        <w:rPr>
          <w:rFonts w:ascii="Times New Roman" w:hAnsi="Times New Roman" w:cs="Times New Roman"/>
          <w:sz w:val="24"/>
          <w:szCs w:val="24"/>
        </w:rPr>
        <w:t>влен к отчислению (табл. 3</w:t>
      </w:r>
      <w:r w:rsidR="00E27EFD">
        <w:rPr>
          <w:rFonts w:ascii="Times New Roman" w:hAnsi="Times New Roman" w:cs="Times New Roman"/>
          <w:sz w:val="24"/>
          <w:szCs w:val="24"/>
        </w:rPr>
        <w:t>), 51</w:t>
      </w:r>
      <w:r w:rsidR="00256DA0">
        <w:rPr>
          <w:rFonts w:ascii="Times New Roman" w:hAnsi="Times New Roman" w:cs="Times New Roman"/>
          <w:sz w:val="24"/>
          <w:szCs w:val="24"/>
        </w:rPr>
        <w:t xml:space="preserve"> студент имел</w:t>
      </w:r>
      <w:r w:rsidRPr="00E27EFD">
        <w:rPr>
          <w:rFonts w:ascii="Times New Roman" w:hAnsi="Times New Roman" w:cs="Times New Roman"/>
          <w:sz w:val="24"/>
          <w:szCs w:val="24"/>
        </w:rPr>
        <w:t xml:space="preserve"> воз</w:t>
      </w:r>
      <w:r w:rsidR="00256DA0">
        <w:rPr>
          <w:rFonts w:ascii="Times New Roman" w:hAnsi="Times New Roman" w:cs="Times New Roman"/>
          <w:sz w:val="24"/>
          <w:szCs w:val="24"/>
        </w:rPr>
        <w:t>можность получить индивидуальный план и график</w:t>
      </w:r>
      <w:r w:rsidRPr="00E27EFD">
        <w:rPr>
          <w:rFonts w:ascii="Times New Roman" w:hAnsi="Times New Roman" w:cs="Times New Roman"/>
          <w:sz w:val="24"/>
          <w:szCs w:val="24"/>
        </w:rPr>
        <w:t xml:space="preserve"> ликвидации задолженностей; студентам, обучающимся на платной основе, рекомендовано заключение договора на повторное изучение дисциплин, по которым имеются задолженности.</w:t>
      </w:r>
      <w:r w:rsidRPr="00D33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B38" w:rsidRPr="00D33B38" w:rsidRDefault="00256DA0" w:rsidP="00D33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D33B38" w:rsidRPr="00D33B38" w:rsidRDefault="00FA3458" w:rsidP="00D33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летней</w:t>
      </w:r>
      <w:r w:rsidR="00D33B38" w:rsidRPr="00D33B38">
        <w:rPr>
          <w:rFonts w:ascii="Times New Roman" w:hAnsi="Times New Roman" w:cs="Times New Roman"/>
          <w:b/>
          <w:sz w:val="24"/>
          <w:szCs w:val="24"/>
        </w:rPr>
        <w:t xml:space="preserve"> сессии (очная форма обучения) </w:t>
      </w: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1212"/>
        <w:gridCol w:w="969"/>
        <w:gridCol w:w="969"/>
        <w:gridCol w:w="969"/>
        <w:gridCol w:w="829"/>
        <w:gridCol w:w="829"/>
        <w:gridCol w:w="692"/>
        <w:gridCol w:w="829"/>
        <w:gridCol w:w="555"/>
        <w:gridCol w:w="969"/>
        <w:gridCol w:w="553"/>
      </w:tblGrid>
      <w:tr w:rsidR="00D33B38" w:rsidRPr="00D33B38" w:rsidTr="00256DA0">
        <w:trPr>
          <w:trHeight w:val="1875"/>
        </w:trPr>
        <w:tc>
          <w:tcPr>
            <w:tcW w:w="64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Контингент студентов</w:t>
            </w:r>
          </w:p>
        </w:tc>
        <w:tc>
          <w:tcPr>
            <w:tcW w:w="10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студентов, имеющих 3 и более задолженности по результатам </w:t>
            </w:r>
          </w:p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7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экз. сессии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9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студентов, имеющие задолженности и после срока их ликвидации</w:t>
            </w:r>
          </w:p>
        </w:tc>
        <w:tc>
          <w:tcPr>
            <w:tcW w:w="8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Количество, выданных инд. планов </w:t>
            </w:r>
          </w:p>
          <w:p w:rsidR="00D33B38" w:rsidRPr="00D33B38" w:rsidRDefault="00D33B38" w:rsidP="00FE275F">
            <w:pPr>
              <w:widowControl/>
              <w:autoSpaceDE/>
              <w:autoSpaceDN/>
              <w:adjustRightInd/>
              <w:ind w:right="-1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графиков (без ДС)</w:t>
            </w:r>
          </w:p>
        </w:tc>
        <w:tc>
          <w:tcPr>
            <w:tcW w:w="7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ind w:left="-106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к отчислению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256DA0" w:rsidP="00FE275F">
            <w:pPr>
              <w:widowControl/>
              <w:autoSpaceDE/>
              <w:autoSpaceDN/>
              <w:adjustRightInd/>
              <w:ind w:left="-104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заключив</w:t>
            </w:r>
            <w:r w:rsidR="00D33B38"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ДС</w:t>
            </w:r>
          </w:p>
        </w:tc>
      </w:tr>
      <w:tr w:rsidR="00FA3458" w:rsidRPr="00D33B38" w:rsidTr="00256DA0">
        <w:trPr>
          <w:trHeight w:val="303"/>
        </w:trPr>
        <w:tc>
          <w:tcPr>
            <w:tcW w:w="64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A3458" w:rsidRPr="00D33B38" w:rsidTr="00256DA0">
        <w:trPr>
          <w:trHeight w:val="405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33B38"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D33B3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A3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3B38" w:rsidRPr="00D33B38" w:rsidRDefault="00FA3458" w:rsidP="00FE27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</w:tbl>
    <w:p w:rsidR="009F3E80" w:rsidRDefault="009F3E80" w:rsidP="00E27EF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EFD" w:rsidRPr="00D33B38" w:rsidRDefault="00E27EFD" w:rsidP="00E27EFD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По результатам сессии сложными для освоения дисциплинами являлись:</w:t>
      </w:r>
    </w:p>
    <w:p w:rsidR="00E27EFD" w:rsidRPr="00D33B38" w:rsidRDefault="00E27EFD" w:rsidP="00E27E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на 1 курсе – начертательная геометрия, математика;</w:t>
      </w:r>
    </w:p>
    <w:p w:rsidR="00E27EFD" w:rsidRPr="00D33B38" w:rsidRDefault="00E27EFD" w:rsidP="00E27E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на 2 курсе – инженерная графика, теоретическая механика;</w:t>
      </w:r>
    </w:p>
    <w:p w:rsidR="00E27EFD" w:rsidRPr="00D33B38" w:rsidRDefault="00E27EFD" w:rsidP="00E27E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на 3 курсе – основы проектирования, метрология;</w:t>
      </w:r>
    </w:p>
    <w:p w:rsidR="00E27EFD" w:rsidRPr="00D33B38" w:rsidRDefault="00E27EFD" w:rsidP="00E27E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>на 4 курсе – безопасность жизнедеятельности.</w:t>
      </w:r>
    </w:p>
    <w:p w:rsidR="00243804" w:rsidRDefault="00243804" w:rsidP="00E27EFD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E27EFD" w:rsidRDefault="00E27EFD" w:rsidP="00E27EFD">
      <w:pPr>
        <w:ind w:firstLine="720"/>
        <w:jc w:val="both"/>
        <w:rPr>
          <w:rFonts w:ascii="Times New Roman" w:hAnsi="Times New Roman" w:cs="Times New Roman"/>
          <w:sz w:val="24"/>
        </w:rPr>
      </w:pPr>
      <w:r w:rsidRPr="00D33B38">
        <w:rPr>
          <w:rFonts w:ascii="Times New Roman" w:hAnsi="Times New Roman" w:cs="Times New Roman"/>
          <w:sz w:val="24"/>
        </w:rPr>
        <w:t>Среди основных причин низкой успеваемости по-прежнему остаются: большое количество пропусков занятий, слабая школьная подготовка, низкая способность к самостоятельной работе</w:t>
      </w:r>
      <w:r w:rsidRPr="009F3E80">
        <w:rPr>
          <w:rFonts w:ascii="Times New Roman" w:hAnsi="Times New Roman" w:cs="Times New Roman"/>
          <w:sz w:val="24"/>
          <w:szCs w:val="24"/>
        </w:rPr>
        <w:t>. Кроме этого в</w:t>
      </w:r>
      <w:r w:rsidRPr="009F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пандемией, студенты были переведены на дистанционную форму обучения, в период которой были сложности взаимодействия иногородних студентов и студентов с отдалённых районов Саратовской области с преподавателями Вуза. Большое количество иностранных студентов успеваемость и уровень знаний, которых низкий.</w:t>
      </w:r>
      <w:r w:rsidRPr="009F3E80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33B38">
        <w:rPr>
          <w:rFonts w:ascii="Times New Roman" w:hAnsi="Times New Roman" w:cs="Times New Roman"/>
          <w:sz w:val="24"/>
        </w:rPr>
        <w:t xml:space="preserve">На старших курсах задолженность по дисциплинам зачастую связана с несвоевременным выполнением курсового проекта или курсовой работы. </w:t>
      </w:r>
    </w:p>
    <w:p w:rsidR="009F3E80" w:rsidRPr="009C44E3" w:rsidRDefault="009F3E80" w:rsidP="009F3E80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C44E3">
        <w:rPr>
          <w:rFonts w:ascii="Times New Roman" w:hAnsi="Times New Roman" w:cs="Times New Roman"/>
          <w:sz w:val="24"/>
        </w:rPr>
        <w:t>По очной форме обуч</w:t>
      </w:r>
      <w:r>
        <w:rPr>
          <w:rFonts w:ascii="Times New Roman" w:hAnsi="Times New Roman" w:cs="Times New Roman"/>
          <w:sz w:val="24"/>
        </w:rPr>
        <w:t xml:space="preserve">ения на «отлично» сдали сессию </w:t>
      </w:r>
      <w:r w:rsidR="00E761BC">
        <w:rPr>
          <w:rFonts w:ascii="Times New Roman" w:hAnsi="Times New Roman" w:cs="Times New Roman"/>
          <w:sz w:val="24"/>
        </w:rPr>
        <w:t>27</w:t>
      </w:r>
      <w:r w:rsidR="00A40543">
        <w:rPr>
          <w:rFonts w:ascii="Times New Roman" w:hAnsi="Times New Roman" w:cs="Times New Roman"/>
          <w:sz w:val="24"/>
        </w:rPr>
        <w:t xml:space="preserve"> человек</w:t>
      </w:r>
      <w:r w:rsidRPr="009C44E3">
        <w:rPr>
          <w:rFonts w:ascii="Times New Roman" w:hAnsi="Times New Roman" w:cs="Times New Roman"/>
          <w:sz w:val="24"/>
        </w:rPr>
        <w:t xml:space="preserve"> </w:t>
      </w:r>
      <w:r w:rsidR="00F82137">
        <w:rPr>
          <w:rFonts w:ascii="Times New Roman" w:hAnsi="Times New Roman" w:cs="Times New Roman"/>
          <w:sz w:val="24"/>
        </w:rPr>
        <w:t>(в 2019</w:t>
      </w:r>
      <w:r w:rsidR="00E761BC">
        <w:rPr>
          <w:rFonts w:ascii="Times New Roman" w:hAnsi="Times New Roman" w:cs="Times New Roman"/>
          <w:sz w:val="24"/>
        </w:rPr>
        <w:t xml:space="preserve"> году 72 студента</w:t>
      </w:r>
      <w:r w:rsidR="00F82137">
        <w:rPr>
          <w:rFonts w:ascii="Times New Roman" w:hAnsi="Times New Roman" w:cs="Times New Roman"/>
          <w:sz w:val="24"/>
        </w:rPr>
        <w:t xml:space="preserve"> сдали сессию на «отлично»</w:t>
      </w:r>
      <w:r w:rsidR="00E761BC">
        <w:rPr>
          <w:rFonts w:ascii="Times New Roman" w:hAnsi="Times New Roman" w:cs="Times New Roman"/>
          <w:sz w:val="24"/>
        </w:rPr>
        <w:t>)</w:t>
      </w:r>
      <w:r w:rsidRPr="009C44E3">
        <w:rPr>
          <w:rFonts w:ascii="Times New Roman" w:hAnsi="Times New Roman" w:cs="Times New Roman"/>
          <w:sz w:val="24"/>
        </w:rPr>
        <w:t xml:space="preserve">, из них </w:t>
      </w:r>
      <w:bookmarkStart w:id="0" w:name="_GoBack"/>
      <w:bookmarkEnd w:id="0"/>
      <w:r w:rsidR="00F82137">
        <w:rPr>
          <w:rFonts w:ascii="Times New Roman" w:hAnsi="Times New Roman" w:cs="Times New Roman"/>
          <w:sz w:val="24"/>
        </w:rPr>
        <w:t>25</w:t>
      </w:r>
      <w:r w:rsidR="00243804">
        <w:rPr>
          <w:rFonts w:ascii="Times New Roman" w:hAnsi="Times New Roman" w:cs="Times New Roman"/>
          <w:sz w:val="24"/>
        </w:rPr>
        <w:t xml:space="preserve"> студента</w:t>
      </w:r>
      <w:r w:rsidRPr="009C44E3">
        <w:rPr>
          <w:rFonts w:ascii="Times New Roman" w:hAnsi="Times New Roman" w:cs="Times New Roman"/>
          <w:sz w:val="24"/>
        </w:rPr>
        <w:t xml:space="preserve"> бюджетной основы обучения. На «отлично» и «хорошо» сдали сессию</w:t>
      </w:r>
      <w:r w:rsidR="00F82137">
        <w:rPr>
          <w:rFonts w:ascii="Times New Roman" w:hAnsi="Times New Roman" w:cs="Times New Roman"/>
          <w:sz w:val="24"/>
        </w:rPr>
        <w:t xml:space="preserve"> 44</w:t>
      </w:r>
      <w:r w:rsidRPr="009C44E3">
        <w:rPr>
          <w:rFonts w:ascii="Times New Roman" w:hAnsi="Times New Roman" w:cs="Times New Roman"/>
          <w:sz w:val="24"/>
        </w:rPr>
        <w:t xml:space="preserve"> студент</w:t>
      </w:r>
      <w:r w:rsidR="00243804">
        <w:rPr>
          <w:rFonts w:ascii="Times New Roman" w:hAnsi="Times New Roman" w:cs="Times New Roman"/>
          <w:sz w:val="24"/>
        </w:rPr>
        <w:t>а</w:t>
      </w:r>
      <w:r w:rsidRPr="009C44E3">
        <w:rPr>
          <w:rFonts w:ascii="Times New Roman" w:hAnsi="Times New Roman" w:cs="Times New Roman"/>
          <w:sz w:val="24"/>
        </w:rPr>
        <w:t>, ч</w:t>
      </w:r>
      <w:r>
        <w:rPr>
          <w:rFonts w:ascii="Times New Roman" w:hAnsi="Times New Roman" w:cs="Times New Roman"/>
          <w:sz w:val="24"/>
        </w:rPr>
        <w:t xml:space="preserve">то </w:t>
      </w:r>
      <w:r w:rsidR="00F82137">
        <w:rPr>
          <w:rFonts w:ascii="Times New Roman" w:hAnsi="Times New Roman" w:cs="Times New Roman"/>
          <w:sz w:val="24"/>
        </w:rPr>
        <w:t>ниже</w:t>
      </w:r>
      <w:r w:rsidRPr="009C44E3">
        <w:rPr>
          <w:rFonts w:ascii="Times New Roman" w:hAnsi="Times New Roman" w:cs="Times New Roman"/>
          <w:sz w:val="24"/>
        </w:rPr>
        <w:t xml:space="preserve"> показателя прошлого года</w:t>
      </w:r>
      <w:r w:rsidR="00F82137">
        <w:rPr>
          <w:rFonts w:ascii="Times New Roman" w:hAnsi="Times New Roman" w:cs="Times New Roman"/>
          <w:sz w:val="24"/>
        </w:rPr>
        <w:t xml:space="preserve"> (2019 году – 60 студентов)</w:t>
      </w:r>
      <w:r w:rsidRPr="009C44E3">
        <w:rPr>
          <w:rFonts w:ascii="Times New Roman" w:hAnsi="Times New Roman" w:cs="Times New Roman"/>
          <w:sz w:val="24"/>
        </w:rPr>
        <w:t xml:space="preserve">, из них </w:t>
      </w:r>
      <w:r w:rsidR="00F82137">
        <w:rPr>
          <w:rFonts w:ascii="Times New Roman" w:hAnsi="Times New Roman" w:cs="Times New Roman"/>
          <w:sz w:val="24"/>
        </w:rPr>
        <w:t>42</w:t>
      </w:r>
      <w:r w:rsidR="00243804">
        <w:rPr>
          <w:rFonts w:ascii="Times New Roman" w:hAnsi="Times New Roman" w:cs="Times New Roman"/>
          <w:sz w:val="24"/>
        </w:rPr>
        <w:t xml:space="preserve"> студента</w:t>
      </w:r>
      <w:r w:rsidRPr="009C44E3">
        <w:rPr>
          <w:rFonts w:ascii="Times New Roman" w:hAnsi="Times New Roman" w:cs="Times New Roman"/>
          <w:sz w:val="24"/>
        </w:rPr>
        <w:t xml:space="preserve"> бюджетной основы обуч</w:t>
      </w:r>
      <w:r w:rsidR="00F82137">
        <w:rPr>
          <w:rFonts w:ascii="Times New Roman" w:hAnsi="Times New Roman" w:cs="Times New Roman"/>
          <w:sz w:val="24"/>
        </w:rPr>
        <w:t>ения. На «хорошо» сдали сессию 2</w:t>
      </w:r>
      <w:r w:rsidRPr="009C44E3">
        <w:rPr>
          <w:rFonts w:ascii="Times New Roman" w:hAnsi="Times New Roman" w:cs="Times New Roman"/>
          <w:sz w:val="24"/>
        </w:rPr>
        <w:t xml:space="preserve"> студен</w:t>
      </w:r>
      <w:r w:rsidR="00F82137">
        <w:rPr>
          <w:rFonts w:ascii="Times New Roman" w:hAnsi="Times New Roman" w:cs="Times New Roman"/>
          <w:sz w:val="24"/>
        </w:rPr>
        <w:t>та</w:t>
      </w:r>
      <w:r w:rsidRPr="009C44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что на 3</w:t>
      </w:r>
      <w:r w:rsidRPr="009C44E3">
        <w:rPr>
          <w:rFonts w:ascii="Times New Roman" w:hAnsi="Times New Roman" w:cs="Times New Roman"/>
          <w:sz w:val="24"/>
        </w:rPr>
        <w:t xml:space="preserve"> % </w:t>
      </w:r>
      <w:r>
        <w:rPr>
          <w:rFonts w:ascii="Times New Roman" w:hAnsi="Times New Roman" w:cs="Times New Roman"/>
          <w:sz w:val="24"/>
        </w:rPr>
        <w:t>ниже</w:t>
      </w:r>
      <w:r w:rsidRPr="009C44E3">
        <w:rPr>
          <w:rFonts w:ascii="Times New Roman" w:hAnsi="Times New Roman" w:cs="Times New Roman"/>
          <w:sz w:val="24"/>
        </w:rPr>
        <w:t xml:space="preserve"> по сравнению с прошлым годом, они все обучаются на </w:t>
      </w:r>
      <w:r w:rsidRPr="009C44E3">
        <w:rPr>
          <w:rFonts w:ascii="Times New Roman" w:hAnsi="Times New Roman" w:cs="Times New Roman"/>
          <w:sz w:val="24"/>
        </w:rPr>
        <w:lastRenderedPageBreak/>
        <w:t xml:space="preserve">бюджетной основе. Таким образом, всего без троек сдали сессию </w:t>
      </w:r>
      <w:r w:rsidR="00243804">
        <w:rPr>
          <w:rFonts w:ascii="Times New Roman" w:hAnsi="Times New Roman" w:cs="Times New Roman"/>
          <w:sz w:val="24"/>
        </w:rPr>
        <w:t>73 студента</w:t>
      </w:r>
      <w:r w:rsidRPr="009C44E3">
        <w:rPr>
          <w:rFonts w:ascii="Times New Roman" w:hAnsi="Times New Roman" w:cs="Times New Roman"/>
          <w:sz w:val="24"/>
        </w:rPr>
        <w:t xml:space="preserve">, </w:t>
      </w:r>
      <w:r w:rsidR="00F82137">
        <w:rPr>
          <w:rFonts w:ascii="Times New Roman" w:hAnsi="Times New Roman" w:cs="Times New Roman"/>
          <w:sz w:val="24"/>
        </w:rPr>
        <w:t>из них 70</w:t>
      </w:r>
      <w:r w:rsidRPr="009C44E3">
        <w:rPr>
          <w:rFonts w:ascii="Times New Roman" w:hAnsi="Times New Roman" w:cs="Times New Roman"/>
          <w:sz w:val="24"/>
        </w:rPr>
        <w:t xml:space="preserve"> обучаются на бюджетной основе</w:t>
      </w:r>
      <w:r w:rsidR="00243804">
        <w:rPr>
          <w:rFonts w:ascii="Times New Roman" w:hAnsi="Times New Roman" w:cs="Times New Roman"/>
          <w:sz w:val="24"/>
        </w:rPr>
        <w:t xml:space="preserve"> (</w:t>
      </w:r>
      <w:r w:rsidR="00F82137">
        <w:rPr>
          <w:rFonts w:ascii="Times New Roman" w:hAnsi="Times New Roman" w:cs="Times New Roman"/>
          <w:sz w:val="24"/>
        </w:rPr>
        <w:t>в 2019 году 136 студентов сдали сессию без троек)</w:t>
      </w:r>
      <w:r w:rsidRPr="009C44E3">
        <w:rPr>
          <w:rFonts w:ascii="Times New Roman" w:hAnsi="Times New Roman" w:cs="Times New Roman"/>
          <w:sz w:val="24"/>
        </w:rPr>
        <w:t>.</w:t>
      </w:r>
    </w:p>
    <w:p w:rsidR="00243804" w:rsidRDefault="00243804" w:rsidP="002438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успеваемости по заочной</w:t>
      </w:r>
      <w:r w:rsidRPr="00D33B38">
        <w:rPr>
          <w:rFonts w:ascii="Times New Roman" w:hAnsi="Times New Roman" w:cs="Times New Roman"/>
          <w:sz w:val="24"/>
          <w:szCs w:val="24"/>
        </w:rPr>
        <w:t xml:space="preserve"> форме обучения в разрезе </w:t>
      </w:r>
      <w:proofErr w:type="gramStart"/>
      <w:r w:rsidRPr="00D33B38">
        <w:rPr>
          <w:rFonts w:ascii="Times New Roman" w:hAnsi="Times New Roman" w:cs="Times New Roman"/>
          <w:sz w:val="24"/>
          <w:szCs w:val="24"/>
        </w:rPr>
        <w:t>курсов  на</w:t>
      </w:r>
      <w:proofErr w:type="gramEnd"/>
      <w:r w:rsidRPr="00D33B38">
        <w:rPr>
          <w:rFonts w:ascii="Times New Roman" w:hAnsi="Times New Roman" w:cs="Times New Roman"/>
          <w:sz w:val="24"/>
          <w:szCs w:val="24"/>
        </w:rPr>
        <w:t xml:space="preserve"> конец сессии </w:t>
      </w:r>
      <w:r w:rsidR="00A40543">
        <w:rPr>
          <w:rFonts w:ascii="Times New Roman" w:hAnsi="Times New Roman" w:cs="Times New Roman"/>
          <w:sz w:val="24"/>
          <w:szCs w:val="24"/>
        </w:rPr>
        <w:t>представлены в таблице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6DA0" w:rsidRPr="00D33B38" w:rsidRDefault="00256DA0" w:rsidP="00D3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D33B38" w:rsidRDefault="00243804" w:rsidP="00D33B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D33B38" w:rsidRPr="00D33B38" w:rsidRDefault="00D33B38" w:rsidP="00D33B3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38">
        <w:rPr>
          <w:rFonts w:ascii="Times New Roman" w:hAnsi="Times New Roman" w:cs="Times New Roman"/>
          <w:b/>
          <w:sz w:val="24"/>
          <w:szCs w:val="24"/>
        </w:rPr>
        <w:t>Сведения о х</w:t>
      </w:r>
      <w:r w:rsidR="008B497F">
        <w:rPr>
          <w:rFonts w:ascii="Times New Roman" w:hAnsi="Times New Roman" w:cs="Times New Roman"/>
          <w:b/>
          <w:sz w:val="24"/>
          <w:szCs w:val="24"/>
        </w:rPr>
        <w:t>оде летней</w:t>
      </w:r>
      <w:r w:rsidRPr="00D33B38">
        <w:rPr>
          <w:rFonts w:ascii="Times New Roman" w:hAnsi="Times New Roman" w:cs="Times New Roman"/>
          <w:b/>
          <w:sz w:val="24"/>
          <w:szCs w:val="24"/>
        </w:rPr>
        <w:t xml:space="preserve"> экзаменационной сессии 2019/2020 учебного года студентов заочной формы обучения и заочной формы по индивидуальному плану ускоренной подготовки (на конец экзаменационной сессии)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851"/>
        <w:gridCol w:w="1134"/>
        <w:gridCol w:w="850"/>
        <w:gridCol w:w="1134"/>
        <w:gridCol w:w="881"/>
      </w:tblGrid>
      <w:tr w:rsidR="004E1973" w:rsidRPr="008B7EC8" w:rsidTr="00EA3A49">
        <w:tc>
          <w:tcPr>
            <w:tcW w:w="1384" w:type="dxa"/>
            <w:vMerge w:val="restart"/>
          </w:tcPr>
          <w:p w:rsidR="004E1973" w:rsidRPr="008B7EC8" w:rsidRDefault="004E1973" w:rsidP="00EA3A49"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Институт</w:t>
            </w:r>
          </w:p>
        </w:tc>
        <w:tc>
          <w:tcPr>
            <w:tcW w:w="1701" w:type="dxa"/>
            <w:vMerge w:val="restart"/>
          </w:tcPr>
          <w:p w:rsidR="004E1973" w:rsidRPr="008B7EC8" w:rsidRDefault="004E1973" w:rsidP="00EA3A49"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Форма обучения</w:t>
            </w:r>
          </w:p>
        </w:tc>
        <w:tc>
          <w:tcPr>
            <w:tcW w:w="5984" w:type="dxa"/>
            <w:gridSpan w:val="6"/>
          </w:tcPr>
          <w:p w:rsidR="004E1973" w:rsidRPr="00A2226A" w:rsidRDefault="004E1973" w:rsidP="00EA3A49">
            <w:pPr>
              <w:jc w:val="center"/>
              <w:rPr>
                <w:rFonts w:ascii="Times New Roman" w:hAnsi="Times New Roman" w:cs="Times New Roman"/>
              </w:rPr>
            </w:pPr>
            <w:r w:rsidRPr="00A2226A">
              <w:rPr>
                <w:rFonts w:ascii="Times New Roman" w:hAnsi="Times New Roman" w:cs="Times New Roman"/>
              </w:rPr>
              <w:t>На конец сессии по курсам</w:t>
            </w:r>
          </w:p>
        </w:tc>
      </w:tr>
      <w:tr w:rsidR="004E1973" w:rsidRPr="008B7EC8" w:rsidTr="00EA3A49">
        <w:tc>
          <w:tcPr>
            <w:tcW w:w="1384" w:type="dxa"/>
            <w:vMerge/>
          </w:tcPr>
          <w:p w:rsidR="004E1973" w:rsidRPr="008B7EC8" w:rsidRDefault="004E1973" w:rsidP="00EA3A49"/>
        </w:tc>
        <w:tc>
          <w:tcPr>
            <w:tcW w:w="1701" w:type="dxa"/>
            <w:vMerge/>
          </w:tcPr>
          <w:p w:rsidR="004E1973" w:rsidRPr="008B7EC8" w:rsidRDefault="004E1973" w:rsidP="00EA3A49"/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Абс</w:t>
            </w:r>
            <w:proofErr w:type="spellEnd"/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. ус-</w:t>
            </w:r>
            <w:proofErr w:type="spellStart"/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ть</w:t>
            </w:r>
            <w:proofErr w:type="spellEnd"/>
          </w:p>
        </w:tc>
        <w:tc>
          <w:tcPr>
            <w:tcW w:w="85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E1973" w:rsidRPr="008B7EC8" w:rsidTr="00EA3A49">
        <w:tc>
          <w:tcPr>
            <w:tcW w:w="1384" w:type="dxa"/>
            <w:vMerge w:val="restart"/>
          </w:tcPr>
          <w:p w:rsidR="004E1973" w:rsidRPr="008B7EC8" w:rsidRDefault="004E1973" w:rsidP="00EA3A49"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ЭТИ 2019/2020</w:t>
            </w:r>
          </w:p>
        </w:tc>
        <w:tc>
          <w:tcPr>
            <w:tcW w:w="170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88,0</w:t>
            </w:r>
          </w:p>
        </w:tc>
        <w:tc>
          <w:tcPr>
            <w:tcW w:w="85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85,0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81,4</w:t>
            </w:r>
          </w:p>
        </w:tc>
        <w:tc>
          <w:tcPr>
            <w:tcW w:w="850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85,5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94,3</w:t>
            </w:r>
          </w:p>
        </w:tc>
        <w:tc>
          <w:tcPr>
            <w:tcW w:w="88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4E1973">
              <w:rPr>
                <w:rFonts w:ascii="Times New Roman" w:hAnsi="Times New Roman" w:cs="Times New Roman"/>
                <w:bCs/>
              </w:rPr>
              <w:t>95,0</w:t>
            </w:r>
          </w:p>
        </w:tc>
      </w:tr>
      <w:tr w:rsidR="004E1973" w:rsidRPr="008B7EC8" w:rsidTr="00EA3A49">
        <w:tc>
          <w:tcPr>
            <w:tcW w:w="1384" w:type="dxa"/>
            <w:vMerge/>
          </w:tcPr>
          <w:p w:rsidR="004E1973" w:rsidRPr="008B7EC8" w:rsidRDefault="004E1973" w:rsidP="00EA3A49"/>
        </w:tc>
        <w:tc>
          <w:tcPr>
            <w:tcW w:w="170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заочная сокращенная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85,7</w:t>
            </w:r>
          </w:p>
        </w:tc>
        <w:tc>
          <w:tcPr>
            <w:tcW w:w="85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 w:rsidRPr="004E1973">
              <w:rPr>
                <w:rFonts w:ascii="Times New Roman" w:hAnsi="Times New Roman" w:cs="Times New Roman"/>
                <w:bCs/>
              </w:rPr>
              <w:t>80,0</w:t>
            </w:r>
          </w:p>
        </w:tc>
        <w:tc>
          <w:tcPr>
            <w:tcW w:w="850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86,0</w:t>
            </w:r>
          </w:p>
        </w:tc>
        <w:tc>
          <w:tcPr>
            <w:tcW w:w="1134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95,1</w:t>
            </w:r>
          </w:p>
        </w:tc>
        <w:tc>
          <w:tcPr>
            <w:tcW w:w="881" w:type="dxa"/>
            <w:vAlign w:val="center"/>
          </w:tcPr>
          <w:p w:rsidR="004E1973" w:rsidRPr="004E1973" w:rsidRDefault="004E1973" w:rsidP="00EA3A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E1973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</w:tr>
    </w:tbl>
    <w:p w:rsidR="00243804" w:rsidRDefault="00243804" w:rsidP="00243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243804" w:rsidRDefault="00243804" w:rsidP="0024380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298">
        <w:rPr>
          <w:rFonts w:ascii="Times New Roman" w:hAnsi="Times New Roman" w:cs="Times New Roman"/>
          <w:sz w:val="24"/>
          <w:szCs w:val="24"/>
        </w:rPr>
        <w:t>Количество студентов заочной формы обучения, не выше</w:t>
      </w:r>
      <w:r>
        <w:rPr>
          <w:rFonts w:ascii="Times New Roman" w:hAnsi="Times New Roman" w:cs="Times New Roman"/>
          <w:sz w:val="24"/>
          <w:szCs w:val="24"/>
        </w:rPr>
        <w:t>дших на сессию, составляет 42</w:t>
      </w:r>
      <w:r w:rsidRPr="003972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2019</w:t>
      </w:r>
      <w:r w:rsidRPr="00397298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69 человек не явились на сессию</w:t>
      </w:r>
      <w:r w:rsidRPr="00397298">
        <w:rPr>
          <w:rFonts w:ascii="Times New Roman" w:hAnsi="Times New Roman" w:cs="Times New Roman"/>
          <w:sz w:val="24"/>
          <w:szCs w:val="24"/>
        </w:rPr>
        <w:t>. Не вышло на сессию студентов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7298">
        <w:rPr>
          <w:rFonts w:ascii="Times New Roman" w:hAnsi="Times New Roman" w:cs="Times New Roman"/>
          <w:sz w:val="24"/>
          <w:szCs w:val="24"/>
        </w:rPr>
        <w:t xml:space="preserve"> 1 курса </w:t>
      </w:r>
      <w:r>
        <w:rPr>
          <w:rFonts w:ascii="Times New Roman" w:hAnsi="Times New Roman" w:cs="Times New Roman"/>
          <w:sz w:val="24"/>
          <w:szCs w:val="24"/>
        </w:rPr>
        <w:t>-14 человек, что меньше на 5 человек, чем в 2019 году;</w:t>
      </w:r>
      <w:r w:rsidRPr="00397298">
        <w:rPr>
          <w:rFonts w:ascii="Times New Roman" w:hAnsi="Times New Roman" w:cs="Times New Roman"/>
          <w:sz w:val="24"/>
          <w:szCs w:val="24"/>
        </w:rPr>
        <w:t xml:space="preserve"> на 2 ку</w:t>
      </w:r>
      <w:r>
        <w:rPr>
          <w:rFonts w:ascii="Times New Roman" w:hAnsi="Times New Roman" w:cs="Times New Roman"/>
          <w:sz w:val="24"/>
          <w:szCs w:val="24"/>
        </w:rPr>
        <w:t>рсе не вышло 12 студентов (в 2019 году- 17 человек);</w:t>
      </w:r>
      <w:r w:rsidRPr="00397298">
        <w:rPr>
          <w:rFonts w:ascii="Times New Roman" w:hAnsi="Times New Roman" w:cs="Times New Roman"/>
          <w:sz w:val="24"/>
          <w:szCs w:val="24"/>
        </w:rPr>
        <w:t xml:space="preserve"> на 3 курсе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человек (в 2019 году 12 человек); на 4 курсе - 2 студента (в 2019 году - 8 человек); на 5 курсе – 9 студентов (в 2019 году 13 человек</w:t>
      </w:r>
      <w:r w:rsidRPr="0039729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E1973" w:rsidRPr="0020674C" w:rsidRDefault="004E1973" w:rsidP="004E1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4C">
        <w:rPr>
          <w:rFonts w:ascii="Times New Roman" w:hAnsi="Times New Roman" w:cs="Times New Roman"/>
          <w:sz w:val="24"/>
          <w:szCs w:val="24"/>
        </w:rPr>
        <w:t>По вопросу «</w:t>
      </w:r>
      <w:r w:rsidRPr="0020674C">
        <w:rPr>
          <w:rFonts w:ascii="Times New Roman" w:hAnsi="Times New Roman" w:cs="Times New Roman"/>
          <w:b/>
          <w:sz w:val="24"/>
          <w:szCs w:val="24"/>
        </w:rPr>
        <w:t>Итоги государственной аттестации выпускников института</w:t>
      </w:r>
      <w:r w:rsidRPr="0020674C">
        <w:rPr>
          <w:rFonts w:ascii="Times New Roman" w:hAnsi="Times New Roman" w:cs="Times New Roman"/>
          <w:sz w:val="24"/>
          <w:szCs w:val="24"/>
        </w:rPr>
        <w:t xml:space="preserve">» заслушали и обсудили информацию о том, что аттестация проводилась в соответствии с «Положением о государственной итоговой аттестации по программам высшего образования выпускников СГТУ имени Гагарина Ю.А.». </w:t>
      </w:r>
    </w:p>
    <w:p w:rsidR="004E1973" w:rsidRPr="00256DA0" w:rsidRDefault="00FB5381" w:rsidP="004E1973">
      <w:pPr>
        <w:pStyle w:val="22"/>
        <w:ind w:right="0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256DA0">
        <w:rPr>
          <w:rFonts w:ascii="Times New Roman" w:hAnsi="Times New Roman" w:cs="Times New Roman"/>
          <w:color w:val="auto"/>
          <w:sz w:val="24"/>
          <w:szCs w:val="24"/>
        </w:rPr>
        <w:t>В 2019/2020</w:t>
      </w:r>
      <w:r w:rsidR="004E1973" w:rsidRPr="00256DA0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выпуск по образовательным программам высшего образования в ЭТИ (филиал) СГТУ имени</w:t>
      </w:r>
      <w:r w:rsidR="001C1D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6DA0">
        <w:rPr>
          <w:rFonts w:ascii="Times New Roman" w:hAnsi="Times New Roman" w:cs="Times New Roman"/>
          <w:color w:val="auto"/>
          <w:sz w:val="24"/>
          <w:szCs w:val="24"/>
        </w:rPr>
        <w:t>Гагарина Ю.А.  проводился по</w:t>
      </w:r>
      <w:r w:rsidR="004E1973" w:rsidRPr="00256DA0">
        <w:rPr>
          <w:rFonts w:ascii="Times New Roman" w:hAnsi="Times New Roman" w:cs="Times New Roman"/>
          <w:color w:val="auto"/>
          <w:sz w:val="24"/>
          <w:szCs w:val="24"/>
        </w:rPr>
        <w:t xml:space="preserve"> программам бакалаврской подготовки по очной и заочной формам обучения. Государственную аттестацию успешно прошли </w:t>
      </w:r>
      <w:r w:rsidRPr="00256DA0">
        <w:rPr>
          <w:rFonts w:ascii="Times New Roman" w:hAnsi="Times New Roman" w:cs="Times New Roman"/>
          <w:color w:val="auto"/>
          <w:sz w:val="24"/>
          <w:szCs w:val="24"/>
        </w:rPr>
        <w:t>264</w:t>
      </w:r>
      <w:r w:rsidR="004E1973" w:rsidRPr="00256DA0">
        <w:rPr>
          <w:rFonts w:ascii="Times New Roman" w:hAnsi="Times New Roman" w:cs="Times New Roman"/>
          <w:color w:val="auto"/>
          <w:sz w:val="24"/>
          <w:szCs w:val="24"/>
        </w:rPr>
        <w:t xml:space="preserve"> студент</w:t>
      </w:r>
      <w:r w:rsidR="00A4054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4E1973" w:rsidRPr="00256DA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256DA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40543">
        <w:rPr>
          <w:rFonts w:ascii="Times New Roman" w:hAnsi="Times New Roman" w:cs="Times New Roman"/>
          <w:color w:val="auto"/>
          <w:sz w:val="24"/>
          <w:szCs w:val="24"/>
        </w:rPr>
        <w:t xml:space="preserve"> человек перенесли защиту</w:t>
      </w:r>
      <w:r w:rsidR="004E1973" w:rsidRPr="00256DA0">
        <w:rPr>
          <w:rFonts w:ascii="Times New Roman" w:hAnsi="Times New Roman" w:cs="Times New Roman"/>
          <w:color w:val="auto"/>
          <w:sz w:val="24"/>
          <w:szCs w:val="24"/>
        </w:rPr>
        <w:t xml:space="preserve"> на осень по уважительной причине.</w:t>
      </w:r>
    </w:p>
    <w:p w:rsidR="004E1973" w:rsidRPr="00B17DA3" w:rsidRDefault="004E1973" w:rsidP="004E197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17DA3">
        <w:rPr>
          <w:rFonts w:ascii="Times New Roman" w:hAnsi="Times New Roman"/>
          <w:color w:val="000000"/>
          <w:sz w:val="24"/>
          <w:szCs w:val="24"/>
        </w:rPr>
        <w:t xml:space="preserve">Государственная итоговая аттестация по программам </w:t>
      </w:r>
      <w:r w:rsidRPr="00B17DA3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  <w:r w:rsidRPr="00B17DA3">
        <w:rPr>
          <w:color w:val="000000"/>
          <w:sz w:val="24"/>
          <w:szCs w:val="24"/>
        </w:rPr>
        <w:t xml:space="preserve"> </w:t>
      </w:r>
      <w:r w:rsidRPr="00B17DA3">
        <w:rPr>
          <w:rFonts w:ascii="Times New Roman" w:hAnsi="Times New Roman"/>
          <w:color w:val="000000"/>
          <w:sz w:val="24"/>
          <w:szCs w:val="24"/>
        </w:rPr>
        <w:t>проводилась в девяти государственных экзаменационных комиссиях, состав</w:t>
      </w:r>
      <w:r w:rsidR="00FB5381">
        <w:rPr>
          <w:rFonts w:ascii="Times New Roman" w:hAnsi="Times New Roman"/>
          <w:color w:val="000000"/>
          <w:sz w:val="24"/>
          <w:szCs w:val="24"/>
        </w:rPr>
        <w:t xml:space="preserve"> которых был утвержден приказом</w:t>
      </w:r>
      <w:r w:rsidRPr="00B17DA3">
        <w:rPr>
          <w:rFonts w:ascii="Times New Roman" w:hAnsi="Times New Roman"/>
          <w:color w:val="000000"/>
          <w:sz w:val="24"/>
          <w:szCs w:val="24"/>
        </w:rPr>
        <w:t xml:space="preserve"> ректора СГТУ имени Гагарина Ю.А. </w:t>
      </w:r>
      <w:r w:rsidR="009F3E80">
        <w:rPr>
          <w:rFonts w:ascii="Times New Roman" w:hAnsi="Times New Roman"/>
          <w:color w:val="000000"/>
          <w:sz w:val="24"/>
          <w:szCs w:val="24"/>
        </w:rPr>
        <w:t>от 13 декабря 2019</w:t>
      </w:r>
      <w:r w:rsidRPr="009F3E80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9F3E80">
        <w:rPr>
          <w:rFonts w:ascii="Times New Roman" w:hAnsi="Times New Roman"/>
          <w:color w:val="000000"/>
          <w:sz w:val="24"/>
          <w:szCs w:val="24"/>
        </w:rPr>
        <w:t>№ 1207</w:t>
      </w:r>
      <w:r w:rsidRPr="009F3E80">
        <w:rPr>
          <w:rFonts w:ascii="Times New Roman" w:hAnsi="Times New Roman"/>
          <w:color w:val="000000"/>
          <w:sz w:val="24"/>
          <w:szCs w:val="24"/>
        </w:rPr>
        <w:t>-П.</w:t>
      </w:r>
      <w:r w:rsidRPr="00B17D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E1973" w:rsidRDefault="004E1973" w:rsidP="004E197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0674C">
        <w:rPr>
          <w:rFonts w:ascii="Times New Roman" w:hAnsi="Times New Roman"/>
          <w:sz w:val="24"/>
          <w:szCs w:val="24"/>
        </w:rPr>
        <w:t xml:space="preserve">Состав ГЭК формировался из числа заведующих кафедрами, профессоров и доцентов выпускающих кафедр, работников с производства, по профилю которых </w:t>
      </w:r>
      <w:r>
        <w:rPr>
          <w:rFonts w:ascii="Times New Roman" w:hAnsi="Times New Roman"/>
          <w:sz w:val="24"/>
          <w:szCs w:val="24"/>
        </w:rPr>
        <w:t>ведется подготовка специалистов</w:t>
      </w:r>
      <w:r w:rsidRPr="0020674C">
        <w:rPr>
          <w:rFonts w:ascii="Times New Roman" w:hAnsi="Times New Roman"/>
          <w:sz w:val="24"/>
          <w:szCs w:val="24"/>
        </w:rPr>
        <w:t xml:space="preserve">. </w:t>
      </w:r>
      <w:r w:rsidRPr="00B17DA3">
        <w:rPr>
          <w:rFonts w:ascii="Times New Roman" w:hAnsi="Times New Roman"/>
          <w:color w:val="000000"/>
          <w:sz w:val="24"/>
          <w:szCs w:val="24"/>
        </w:rPr>
        <w:t>Работу комиссий возглавляли 8 руководителей профильных промышленных предприятий и организаций (89%) и 1 заведующий 1 кафедрой, докторов наук, профессор (11%).</w:t>
      </w:r>
    </w:p>
    <w:p w:rsidR="004E1973" w:rsidRPr="0020674C" w:rsidRDefault="004E1973" w:rsidP="004E19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674C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Pr="0020674C">
        <w:rPr>
          <w:rFonts w:ascii="Times New Roman" w:hAnsi="Times New Roman"/>
          <w:sz w:val="24"/>
          <w:szCs w:val="24"/>
        </w:rPr>
        <w:t xml:space="preserve"> защиты ВКР в сравнении з</w:t>
      </w:r>
      <w:r w:rsidR="00243804">
        <w:rPr>
          <w:rFonts w:ascii="Times New Roman" w:hAnsi="Times New Roman"/>
          <w:sz w:val="24"/>
          <w:szCs w:val="24"/>
        </w:rPr>
        <w:t>а три года приведены в таблице 5</w:t>
      </w:r>
      <w:r w:rsidRPr="0020674C">
        <w:rPr>
          <w:rFonts w:ascii="Times New Roman" w:hAnsi="Times New Roman"/>
          <w:sz w:val="24"/>
          <w:szCs w:val="24"/>
        </w:rPr>
        <w:t>.</w:t>
      </w:r>
    </w:p>
    <w:p w:rsidR="004E1973" w:rsidRPr="00391BE8" w:rsidRDefault="00243804" w:rsidP="004E1973">
      <w:pPr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4E1973" w:rsidRPr="00391BE8" w:rsidRDefault="004E1973" w:rsidP="004E1973">
      <w:pPr>
        <w:tabs>
          <w:tab w:val="left" w:pos="7065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BE8">
        <w:rPr>
          <w:rFonts w:ascii="Times New Roman" w:hAnsi="Times New Roman" w:cs="Times New Roman"/>
          <w:b/>
          <w:sz w:val="24"/>
          <w:szCs w:val="24"/>
        </w:rPr>
        <w:t>Результаты защиты ВКР</w:t>
      </w:r>
    </w:p>
    <w:p w:rsidR="00FB5381" w:rsidRPr="00391BE8" w:rsidRDefault="00FB5381" w:rsidP="00FB5381">
      <w:pPr>
        <w:tabs>
          <w:tab w:val="left" w:pos="83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090"/>
        <w:gridCol w:w="1221"/>
        <w:gridCol w:w="1221"/>
        <w:gridCol w:w="1221"/>
        <w:gridCol w:w="1221"/>
        <w:gridCol w:w="1221"/>
      </w:tblGrid>
      <w:tr w:rsidR="00FB5381" w:rsidTr="00256DA0">
        <w:tc>
          <w:tcPr>
            <w:tcW w:w="2376" w:type="dxa"/>
            <w:vMerge w:val="restart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32" w:type="dxa"/>
            <w:gridSpan w:val="3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Очное обучение</w:t>
            </w:r>
          </w:p>
        </w:tc>
        <w:tc>
          <w:tcPr>
            <w:tcW w:w="3663" w:type="dxa"/>
            <w:gridSpan w:val="3"/>
          </w:tcPr>
          <w:p w:rsidR="00FB5381" w:rsidRPr="00391BE8" w:rsidRDefault="00FB5381" w:rsidP="00FB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</w:p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381" w:rsidTr="00256DA0">
        <w:tc>
          <w:tcPr>
            <w:tcW w:w="2376" w:type="dxa"/>
            <w:vMerge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1" w:type="dxa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1" w:type="dxa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B5381" w:rsidTr="00256DA0">
        <w:tc>
          <w:tcPr>
            <w:tcW w:w="2376" w:type="dxa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Получили «4» и «5»</w:t>
            </w:r>
          </w:p>
        </w:tc>
        <w:tc>
          <w:tcPr>
            <w:tcW w:w="1090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21" w:type="dxa"/>
          </w:tcPr>
          <w:p w:rsidR="00FB5381" w:rsidRPr="008A26A1" w:rsidRDefault="008A26A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221" w:type="dxa"/>
          </w:tcPr>
          <w:p w:rsidR="00FB5381" w:rsidRDefault="008A26A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</w:t>
            </w:r>
            <w:r w:rsidR="00397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381" w:rsidTr="00256DA0">
        <w:tc>
          <w:tcPr>
            <w:tcW w:w="2376" w:type="dxa"/>
          </w:tcPr>
          <w:p w:rsidR="00FB5381" w:rsidRDefault="00FB538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090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21" w:type="dxa"/>
          </w:tcPr>
          <w:p w:rsidR="00FB5381" w:rsidRPr="008A26A1" w:rsidRDefault="008A26A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BE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21" w:type="dxa"/>
          </w:tcPr>
          <w:p w:rsidR="00FB5381" w:rsidRPr="00391BE8" w:rsidRDefault="00FB5381" w:rsidP="00EA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21" w:type="dxa"/>
          </w:tcPr>
          <w:p w:rsidR="00FB5381" w:rsidRDefault="008A26A1" w:rsidP="00FB5381">
            <w:pPr>
              <w:tabs>
                <w:tab w:val="left" w:pos="8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</w:tr>
    </w:tbl>
    <w:p w:rsidR="00FB5381" w:rsidRPr="00391BE8" w:rsidRDefault="00FB5381" w:rsidP="00FB5381">
      <w:pPr>
        <w:tabs>
          <w:tab w:val="left" w:pos="839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E1973" w:rsidRDefault="004E1973" w:rsidP="004E197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91BE8">
        <w:rPr>
          <w:rFonts w:ascii="Times New Roman" w:hAnsi="Times New Roman"/>
          <w:sz w:val="24"/>
          <w:szCs w:val="24"/>
        </w:rPr>
        <w:t>Результаты защит ВКР показали, что процент полученных хороших и отличных оценок</w:t>
      </w:r>
      <w:r w:rsidR="00397298">
        <w:rPr>
          <w:rFonts w:ascii="Times New Roman" w:hAnsi="Times New Roman"/>
          <w:sz w:val="24"/>
          <w:szCs w:val="24"/>
        </w:rPr>
        <w:t xml:space="preserve"> студентами ЭТИ очного обучения несколько снизился</w:t>
      </w:r>
      <w:r w:rsidRPr="00391BE8">
        <w:rPr>
          <w:rFonts w:ascii="Times New Roman" w:hAnsi="Times New Roman"/>
          <w:sz w:val="24"/>
          <w:szCs w:val="24"/>
        </w:rPr>
        <w:t>.</w:t>
      </w:r>
      <w:r w:rsidRPr="00391BE8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391BE8">
        <w:rPr>
          <w:rFonts w:ascii="Times New Roman" w:hAnsi="Times New Roman"/>
          <w:sz w:val="24"/>
          <w:szCs w:val="24"/>
        </w:rPr>
        <w:t xml:space="preserve">Неудовлетворительных оценок получено не было. На заочном обучении процент </w:t>
      </w:r>
      <w:r>
        <w:rPr>
          <w:rFonts w:ascii="Times New Roman" w:hAnsi="Times New Roman"/>
          <w:sz w:val="24"/>
          <w:szCs w:val="24"/>
        </w:rPr>
        <w:t xml:space="preserve">хороших и отличных оценок на 12,7 </w:t>
      </w:r>
      <w:r w:rsidRPr="00391BE8">
        <w:rPr>
          <w:rFonts w:ascii="Times New Roman" w:hAnsi="Times New Roman"/>
          <w:sz w:val="24"/>
          <w:szCs w:val="24"/>
        </w:rPr>
        <w:t xml:space="preserve">% </w:t>
      </w:r>
      <w:r w:rsidRPr="00391BE8">
        <w:rPr>
          <w:rFonts w:ascii="Times New Roman" w:hAnsi="Times New Roman"/>
          <w:sz w:val="24"/>
          <w:szCs w:val="24"/>
        </w:rPr>
        <w:lastRenderedPageBreak/>
        <w:t xml:space="preserve">ниже, чем в прошлом году. </w:t>
      </w:r>
    </w:p>
    <w:p w:rsidR="004E1973" w:rsidRPr="00391BE8" w:rsidRDefault="004E1973" w:rsidP="004E197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391BE8">
        <w:rPr>
          <w:rFonts w:ascii="Times New Roman" w:hAnsi="Times New Roman"/>
          <w:sz w:val="24"/>
          <w:szCs w:val="24"/>
        </w:rPr>
        <w:t>Процент ВКР, рекомендованн</w:t>
      </w:r>
      <w:r>
        <w:rPr>
          <w:rFonts w:ascii="Times New Roman" w:hAnsi="Times New Roman"/>
          <w:sz w:val="24"/>
          <w:szCs w:val="24"/>
        </w:rPr>
        <w:t>ых ГЭК к внедрению составил 31,6 % (65</w:t>
      </w:r>
      <w:r w:rsidRPr="00391BE8">
        <w:rPr>
          <w:rFonts w:ascii="Times New Roman" w:hAnsi="Times New Roman"/>
          <w:sz w:val="24"/>
          <w:szCs w:val="24"/>
        </w:rPr>
        <w:t xml:space="preserve"> ВКР), что </w:t>
      </w:r>
      <w:r>
        <w:rPr>
          <w:rFonts w:ascii="Times New Roman" w:hAnsi="Times New Roman"/>
          <w:sz w:val="24"/>
          <w:szCs w:val="24"/>
        </w:rPr>
        <w:t>ниже</w:t>
      </w:r>
      <w:r w:rsidRPr="00391BE8">
        <w:rPr>
          <w:rFonts w:ascii="Times New Roman" w:hAnsi="Times New Roman"/>
          <w:sz w:val="24"/>
          <w:szCs w:val="24"/>
        </w:rPr>
        <w:t xml:space="preserve"> соответствующи</w:t>
      </w:r>
      <w:r>
        <w:rPr>
          <w:rFonts w:ascii="Times New Roman" w:hAnsi="Times New Roman"/>
          <w:sz w:val="24"/>
          <w:szCs w:val="24"/>
        </w:rPr>
        <w:t>й показатель прошлого года (45,5 %, 80</w:t>
      </w:r>
      <w:r w:rsidRPr="00391BE8">
        <w:rPr>
          <w:rFonts w:ascii="Times New Roman" w:hAnsi="Times New Roman"/>
          <w:sz w:val="24"/>
          <w:szCs w:val="24"/>
        </w:rPr>
        <w:t xml:space="preserve"> работ). </w:t>
      </w:r>
    </w:p>
    <w:p w:rsidR="00E761BC" w:rsidRPr="00391BE8" w:rsidRDefault="00C80397" w:rsidP="00E761BC">
      <w:pPr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Количество</w:t>
      </w:r>
      <w:r w:rsidR="004E1973" w:rsidRPr="00C80397">
        <w:rPr>
          <w:rFonts w:ascii="Times New Roman" w:hAnsi="Times New Roman"/>
          <w:spacing w:val="-2"/>
          <w:sz w:val="24"/>
          <w:szCs w:val="24"/>
        </w:rPr>
        <w:t xml:space="preserve"> выданных дипломов с отличием в целом по ЭТИ </w:t>
      </w:r>
      <w:r>
        <w:rPr>
          <w:rFonts w:ascii="Times New Roman" w:hAnsi="Times New Roman"/>
          <w:spacing w:val="-2"/>
          <w:sz w:val="24"/>
          <w:szCs w:val="24"/>
        </w:rPr>
        <w:t xml:space="preserve">осталось на уровне и составило 20 </w:t>
      </w:r>
      <w:r w:rsidR="004E1973" w:rsidRPr="00C80397">
        <w:rPr>
          <w:rFonts w:ascii="Times New Roman" w:hAnsi="Times New Roman"/>
          <w:spacing w:val="-2"/>
          <w:sz w:val="24"/>
          <w:szCs w:val="24"/>
        </w:rPr>
        <w:t xml:space="preserve">(количество дипломов с отличием в целом </w:t>
      </w:r>
      <w:r>
        <w:rPr>
          <w:rFonts w:ascii="Times New Roman" w:hAnsi="Times New Roman"/>
          <w:spacing w:val="-2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ЭТИ  в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2019 году – 24</w:t>
      </w:r>
      <w:r w:rsidR="004E1973" w:rsidRPr="00C80397">
        <w:rPr>
          <w:rFonts w:ascii="Times New Roman" w:hAnsi="Times New Roman"/>
          <w:spacing w:val="-2"/>
          <w:sz w:val="24"/>
          <w:szCs w:val="24"/>
        </w:rPr>
        <w:t>; в 2018 году – 14 ди</w:t>
      </w:r>
      <w:r>
        <w:rPr>
          <w:rFonts w:ascii="Times New Roman" w:hAnsi="Times New Roman"/>
          <w:spacing w:val="-2"/>
          <w:sz w:val="24"/>
          <w:szCs w:val="24"/>
        </w:rPr>
        <w:t>пломов</w:t>
      </w:r>
      <w:r w:rsidR="004E1973" w:rsidRPr="00C80397">
        <w:rPr>
          <w:rFonts w:ascii="Times New Roman" w:hAnsi="Times New Roman"/>
          <w:spacing w:val="-2"/>
          <w:sz w:val="24"/>
          <w:szCs w:val="24"/>
        </w:rPr>
        <w:t>).</w:t>
      </w:r>
    </w:p>
    <w:p w:rsidR="00184E8D" w:rsidRPr="000D7D05" w:rsidRDefault="00184E8D" w:rsidP="00184E8D">
      <w:pPr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color w:val="000000"/>
          <w:sz w:val="24"/>
          <w:szCs w:val="24"/>
        </w:rPr>
        <w:t>По вопросу «</w:t>
      </w:r>
      <w:r w:rsidRPr="000D7D05">
        <w:rPr>
          <w:rFonts w:ascii="Times New Roman" w:hAnsi="Times New Roman" w:cs="Times New Roman"/>
          <w:b/>
          <w:color w:val="000000"/>
          <w:sz w:val="24"/>
          <w:szCs w:val="24"/>
        </w:rPr>
        <w:t>Итоги летних практик студентов в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9/2020</w:t>
      </w:r>
      <w:r w:rsidRPr="000D7D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>» заслушали и обсудили информацию о том, что организация всех видов практик проводилась в соответствии с «Положением о практике обучающихся, осваивающих основные образовательные программы высшего образования в СГТУ имени Гагарина Ю.А.». Численность</w:t>
      </w:r>
      <w:r w:rsidR="001C1D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7D05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proofErr w:type="gramEnd"/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проходивших практику -  </w:t>
      </w:r>
      <w:r w:rsidR="00A2226A">
        <w:rPr>
          <w:rFonts w:ascii="Times New Roman" w:hAnsi="Times New Roman" w:cs="Times New Roman"/>
          <w:color w:val="000000"/>
          <w:sz w:val="24"/>
          <w:szCs w:val="24"/>
        </w:rPr>
        <w:t>382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</w:t>
      </w:r>
      <w:r w:rsidR="00A2226A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– очной формы обучения</w:t>
      </w:r>
      <w:r w:rsidR="00A2226A">
        <w:rPr>
          <w:rFonts w:ascii="Times New Roman" w:hAnsi="Times New Roman" w:cs="Times New Roman"/>
          <w:color w:val="000000"/>
          <w:sz w:val="24"/>
          <w:szCs w:val="24"/>
        </w:rPr>
        <w:t>, 235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– заочной формы обучения). </w:t>
      </w:r>
    </w:p>
    <w:p w:rsidR="00184E8D" w:rsidRPr="000D7D05" w:rsidRDefault="00184E8D" w:rsidP="00184E8D">
      <w:pPr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color w:val="000000"/>
          <w:sz w:val="24"/>
          <w:szCs w:val="24"/>
        </w:rPr>
        <w:t>Общее количество договоров об организации практики, де</w:t>
      </w:r>
      <w:r w:rsidR="001C1D16">
        <w:rPr>
          <w:rFonts w:ascii="Times New Roman" w:hAnsi="Times New Roman" w:cs="Times New Roman"/>
          <w:color w:val="000000"/>
          <w:sz w:val="24"/>
          <w:szCs w:val="24"/>
        </w:rPr>
        <w:t xml:space="preserve">йствующих в этом учебном году, 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составило 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. Численность студентов, проходивших практику по индивидуальным договорам – 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>17 (студенты заочной формы обучения)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>. Численность студентов, проходивших практику за п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>ределами Саратовской области – 5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. На оплачиваемых должностях проходили практику 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студентов. </w:t>
      </w:r>
    </w:p>
    <w:p w:rsidR="00184E8D" w:rsidRPr="000D7D05" w:rsidRDefault="00184E8D" w:rsidP="00184E8D">
      <w:pPr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color w:val="000000"/>
          <w:sz w:val="24"/>
          <w:szCs w:val="24"/>
        </w:rPr>
        <w:t>Состав руководителей практик: доцентов, пр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>офессоров – 7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>, ассистентов – 1.</w:t>
      </w:r>
    </w:p>
    <w:p w:rsidR="00184E8D" w:rsidRPr="000D7D05" w:rsidRDefault="00184E8D" w:rsidP="00184E8D">
      <w:pPr>
        <w:widowControl/>
        <w:autoSpaceDE/>
        <w:autoSpaceDN/>
        <w:adjustRightInd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color w:val="000000"/>
          <w:sz w:val="24"/>
          <w:szCs w:val="24"/>
        </w:rPr>
        <w:t>Основные места проведения практики:</w:t>
      </w:r>
    </w:p>
    <w:p w:rsidR="00184E8D" w:rsidRPr="009B44DE" w:rsidRDefault="00184E8D" w:rsidP="00184E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4DE">
        <w:rPr>
          <w:rFonts w:ascii="Times New Roman" w:hAnsi="Times New Roman" w:cs="Times New Roman"/>
          <w:b/>
          <w:sz w:val="24"/>
          <w:szCs w:val="24"/>
        </w:rPr>
        <w:t>1 курс</w:t>
      </w:r>
      <w:r w:rsidRPr="009B44D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DE">
        <w:rPr>
          <w:rFonts w:ascii="Times New Roman" w:hAnsi="Times New Roman" w:cs="Times New Roman"/>
          <w:sz w:val="24"/>
          <w:szCs w:val="24"/>
        </w:rPr>
        <w:t>ОАО «Трансмаш» (г. Энг</w:t>
      </w:r>
      <w:r w:rsidR="005475B6">
        <w:rPr>
          <w:rFonts w:ascii="Times New Roman" w:hAnsi="Times New Roman" w:cs="Times New Roman"/>
          <w:sz w:val="24"/>
          <w:szCs w:val="24"/>
        </w:rPr>
        <w:t>ельс)</w:t>
      </w:r>
      <w:r w:rsidRPr="009B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E8D" w:rsidRPr="009B44DE" w:rsidRDefault="00184E8D" w:rsidP="00184E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4DE">
        <w:rPr>
          <w:rFonts w:ascii="Times New Roman" w:hAnsi="Times New Roman" w:cs="Times New Roman"/>
          <w:b/>
          <w:sz w:val="24"/>
          <w:szCs w:val="24"/>
        </w:rPr>
        <w:t>2 курс</w:t>
      </w:r>
      <w:r w:rsidRPr="009B44DE">
        <w:rPr>
          <w:rFonts w:ascii="Times New Roman" w:hAnsi="Times New Roman" w:cs="Times New Roman"/>
          <w:sz w:val="24"/>
          <w:szCs w:val="24"/>
        </w:rPr>
        <w:t xml:space="preserve"> – ПАО «Саратовский НПЗ» (г. Саратов), ООО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Саратоворгсинтез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 (г. Саратов), ООО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Саратовгазарматура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 (г. Саратов), выпускающие кафедры института.</w:t>
      </w:r>
    </w:p>
    <w:p w:rsidR="00184E8D" w:rsidRPr="009B44DE" w:rsidRDefault="00184E8D" w:rsidP="00184E8D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B44DE">
        <w:rPr>
          <w:rFonts w:ascii="Times New Roman" w:hAnsi="Times New Roman" w:cs="Times New Roman"/>
          <w:b/>
          <w:sz w:val="24"/>
          <w:szCs w:val="24"/>
        </w:rPr>
        <w:t>3 курс</w:t>
      </w:r>
      <w:r w:rsidRPr="009B44DE">
        <w:rPr>
          <w:rFonts w:ascii="Times New Roman" w:hAnsi="Times New Roman" w:cs="Times New Roman"/>
          <w:sz w:val="24"/>
          <w:szCs w:val="24"/>
        </w:rPr>
        <w:t xml:space="preserve"> – АО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Фоссло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Фасэнинг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 Систем Рус» (г. Энгельс), ПАО «Саратовский НПЗ» (г. Саратов), ООО «Газпром проектирование» (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г.Саратов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.), ООО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Саратоворгсинтез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 (г. Саратов), ООО «НИПИ НГ ПЕТОН» (г. Саратов), ООО «Партнеры Красноярск».</w:t>
      </w:r>
    </w:p>
    <w:p w:rsidR="00184E8D" w:rsidRPr="009B44DE" w:rsidRDefault="00184E8D" w:rsidP="00184E8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4DE">
        <w:rPr>
          <w:rFonts w:ascii="Times New Roman" w:hAnsi="Times New Roman" w:cs="Times New Roman"/>
          <w:b/>
          <w:sz w:val="24"/>
          <w:szCs w:val="24"/>
        </w:rPr>
        <w:t>4 курс</w:t>
      </w:r>
      <w:r w:rsidRPr="009B44D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4DE">
        <w:rPr>
          <w:rFonts w:ascii="Times New Roman" w:hAnsi="Times New Roman" w:cs="Times New Roman"/>
          <w:sz w:val="24"/>
          <w:szCs w:val="24"/>
        </w:rPr>
        <w:t>ООО «Завод ремонта и модернизации станков» (г. Энгельс), ООО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ГазэнергоПоставка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 (г. Энгельс), НИЦМ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Волгодортранс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», АО ЭОКБ «Сигнал» имени 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А.И.Глухарева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 (г. Энгельс), ПАО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ВНИПИгаздобыча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 (г. Саратов), ПАО «Саратовский НПЗ» (г. Саратов), АО «Нефтемаш-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Сапкон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», ООО «Газпром добыча Ямбург», ООО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Энгельсская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теплосетевая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 компания», ООО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Саратоворгсинтез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>» (г. Саратов), ИП «</w:t>
      </w:r>
      <w:proofErr w:type="spellStart"/>
      <w:r w:rsidRPr="009B44DE">
        <w:rPr>
          <w:rFonts w:ascii="Times New Roman" w:hAnsi="Times New Roman" w:cs="Times New Roman"/>
          <w:sz w:val="24"/>
          <w:szCs w:val="24"/>
        </w:rPr>
        <w:t>Шмунк</w:t>
      </w:r>
      <w:proofErr w:type="spellEnd"/>
      <w:r w:rsidRPr="009B44DE">
        <w:rPr>
          <w:rFonts w:ascii="Times New Roman" w:hAnsi="Times New Roman" w:cs="Times New Roman"/>
          <w:sz w:val="24"/>
          <w:szCs w:val="24"/>
        </w:rPr>
        <w:t xml:space="preserve">» г. Энгельс, выпускающие кафедры института. </w:t>
      </w:r>
    </w:p>
    <w:p w:rsidR="00184E8D" w:rsidRDefault="00184E8D" w:rsidP="00184E8D">
      <w:pPr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Аттестация по итогам </w:t>
      </w:r>
      <w:r w:rsidR="00243804">
        <w:rPr>
          <w:rFonts w:ascii="Times New Roman" w:hAnsi="Times New Roman" w:cs="Times New Roman"/>
          <w:color w:val="000000"/>
          <w:sz w:val="24"/>
          <w:szCs w:val="24"/>
        </w:rPr>
        <w:t>практик представлена в таблице 6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6DA0" w:rsidRPr="000D7D05" w:rsidRDefault="00256DA0" w:rsidP="00184E8D">
      <w:pPr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8D" w:rsidRPr="000D7D05" w:rsidRDefault="00243804" w:rsidP="00184E8D">
      <w:pPr>
        <w:ind w:firstLine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6</w:t>
      </w:r>
    </w:p>
    <w:p w:rsidR="00184E8D" w:rsidRPr="000D7D05" w:rsidRDefault="00184E8D" w:rsidP="00184E8D">
      <w:pPr>
        <w:ind w:firstLine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b/>
          <w:color w:val="000000"/>
          <w:sz w:val="24"/>
          <w:szCs w:val="24"/>
        </w:rPr>
        <w:t>Аттестация по итогам практик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84E8D" w:rsidRPr="000D7D05" w:rsidTr="00EA3A49">
        <w:trPr>
          <w:trHeight w:val="210"/>
        </w:trPr>
        <w:tc>
          <w:tcPr>
            <w:tcW w:w="9286" w:type="dxa"/>
            <w:gridSpan w:val="3"/>
            <w:shd w:val="clear" w:color="auto" w:fill="auto"/>
          </w:tcPr>
          <w:p w:rsidR="00184E8D" w:rsidRPr="000D7D05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 форма обучения (учебная, производственная, преддипломная практики)</w:t>
            </w:r>
          </w:p>
        </w:tc>
      </w:tr>
      <w:tr w:rsidR="00184E8D" w:rsidRPr="000D7D05" w:rsidTr="00EA3A49">
        <w:trPr>
          <w:trHeight w:val="210"/>
        </w:trPr>
        <w:tc>
          <w:tcPr>
            <w:tcW w:w="3095" w:type="dxa"/>
            <w:shd w:val="clear" w:color="auto" w:fill="auto"/>
          </w:tcPr>
          <w:p w:rsidR="00184E8D" w:rsidRPr="000D7D05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3095" w:type="dxa"/>
            <w:shd w:val="clear" w:color="auto" w:fill="auto"/>
          </w:tcPr>
          <w:p w:rsidR="00184E8D" w:rsidRPr="000D7D05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3096" w:type="dxa"/>
            <w:shd w:val="clear" w:color="auto" w:fill="auto"/>
          </w:tcPr>
          <w:p w:rsidR="00184E8D" w:rsidRPr="000D7D05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184E8D" w:rsidRPr="000D7D05" w:rsidTr="00EA3A49">
        <w:trPr>
          <w:trHeight w:val="1089"/>
        </w:trPr>
        <w:tc>
          <w:tcPr>
            <w:tcW w:w="3095" w:type="dxa"/>
            <w:shd w:val="clear" w:color="auto" w:fill="auto"/>
          </w:tcPr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– 16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– 4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– 15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курс – 3</w:t>
            </w:r>
            <w:r w:rsidR="00184E8D" w:rsidRPr="000D7D0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– 6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– 2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– 9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курс – 11</w:t>
            </w:r>
          </w:p>
        </w:tc>
        <w:tc>
          <w:tcPr>
            <w:tcW w:w="3096" w:type="dxa"/>
            <w:shd w:val="clear" w:color="auto" w:fill="auto"/>
          </w:tcPr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курс – 4</w:t>
            </w:r>
          </w:p>
          <w:p w:rsidR="00184E8D" w:rsidRPr="000D7D05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 – 0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курс – 2</w:t>
            </w:r>
          </w:p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 курс – 2</w:t>
            </w:r>
          </w:p>
        </w:tc>
      </w:tr>
      <w:tr w:rsidR="00184E8D" w:rsidRPr="000D7D05" w:rsidTr="00EA3A49">
        <w:trPr>
          <w:trHeight w:val="406"/>
        </w:trPr>
        <w:tc>
          <w:tcPr>
            <w:tcW w:w="9286" w:type="dxa"/>
            <w:gridSpan w:val="3"/>
            <w:shd w:val="clear" w:color="auto" w:fill="auto"/>
          </w:tcPr>
          <w:p w:rsidR="00184E8D" w:rsidRPr="000D7D05" w:rsidRDefault="00184E8D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форма о</w:t>
            </w:r>
            <w:r w:rsidR="00E76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бучения </w:t>
            </w:r>
          </w:p>
        </w:tc>
      </w:tr>
      <w:tr w:rsidR="00184E8D" w:rsidRPr="000D7D05" w:rsidTr="00EA3A49">
        <w:trPr>
          <w:trHeight w:val="356"/>
        </w:trPr>
        <w:tc>
          <w:tcPr>
            <w:tcW w:w="3095" w:type="dxa"/>
            <w:shd w:val="clear" w:color="auto" w:fill="auto"/>
          </w:tcPr>
          <w:p w:rsidR="00184E8D" w:rsidRPr="000D7D05" w:rsidRDefault="00E761BC" w:rsidP="00E76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95" w:type="dxa"/>
            <w:shd w:val="clear" w:color="auto" w:fill="auto"/>
          </w:tcPr>
          <w:p w:rsidR="00184E8D" w:rsidRPr="000D7D05" w:rsidRDefault="00E761BC" w:rsidP="00E761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96" w:type="dxa"/>
            <w:shd w:val="clear" w:color="auto" w:fill="auto"/>
          </w:tcPr>
          <w:p w:rsidR="00184E8D" w:rsidRPr="000D7D05" w:rsidRDefault="00E761BC" w:rsidP="00EA3A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184E8D" w:rsidRPr="000D7D05" w:rsidRDefault="00184E8D" w:rsidP="00184E8D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E8D" w:rsidRPr="000D7D05" w:rsidRDefault="00184E8D" w:rsidP="00184E8D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Не прошли аттестацию по практике 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студентов</w:t>
      </w:r>
      <w:r w:rsidR="00E761BC">
        <w:rPr>
          <w:rFonts w:ascii="Times New Roman" w:hAnsi="Times New Roman" w:cs="Times New Roman"/>
          <w:color w:val="000000"/>
          <w:sz w:val="24"/>
          <w:szCs w:val="24"/>
        </w:rPr>
        <w:t xml:space="preserve"> очной формы обучения и 12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0D7D05">
        <w:rPr>
          <w:rFonts w:ascii="Times New Roman" w:hAnsi="Times New Roman" w:cs="Times New Roman"/>
          <w:color w:val="000000"/>
          <w:sz w:val="24"/>
          <w:szCs w:val="24"/>
        </w:rPr>
        <w:t xml:space="preserve"> заочной формы обучения. </w:t>
      </w:r>
    </w:p>
    <w:p w:rsidR="00256DA0" w:rsidRDefault="00256DA0" w:rsidP="00F82137">
      <w:pPr>
        <w:tabs>
          <w:tab w:val="left" w:pos="1134"/>
          <w:tab w:val="left" w:pos="1418"/>
        </w:tabs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137" w:rsidRPr="00F82137" w:rsidRDefault="00F82137" w:rsidP="00F82137">
      <w:pPr>
        <w:tabs>
          <w:tab w:val="left" w:pos="1134"/>
          <w:tab w:val="left" w:pos="1418"/>
        </w:tabs>
        <w:ind w:right="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2137">
        <w:rPr>
          <w:rFonts w:ascii="Times New Roman" w:hAnsi="Times New Roman" w:cs="Times New Roman"/>
          <w:color w:val="000000"/>
          <w:sz w:val="24"/>
          <w:szCs w:val="24"/>
        </w:rPr>
        <w:t>В целях дальнейшего совершенствования организации учебного процесса и повышения качества подготовки выпускников, с учетом результатов промежуточной и итоговой аттестаций Ученый совет</w:t>
      </w:r>
    </w:p>
    <w:p w:rsidR="00F82137" w:rsidRDefault="00F82137" w:rsidP="00F82137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2137" w:rsidRPr="00F82137" w:rsidRDefault="00F82137" w:rsidP="00F82137">
      <w:pPr>
        <w:shd w:val="clear" w:color="auto" w:fill="FFFFFF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1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ПОСТАНОВЛЯЕТ</w:t>
      </w:r>
      <w:r w:rsidRPr="00F82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82137" w:rsidRPr="00F82137" w:rsidRDefault="00F82137" w:rsidP="00F82137">
      <w:pPr>
        <w:pStyle w:val="22"/>
        <w:numPr>
          <w:ilvl w:val="0"/>
          <w:numId w:val="3"/>
        </w:numPr>
        <w:tabs>
          <w:tab w:val="clear" w:pos="360"/>
          <w:tab w:val="num" w:pos="100"/>
        </w:tabs>
        <w:ind w:left="0"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pacing w:val="-10"/>
          <w:sz w:val="24"/>
          <w:szCs w:val="24"/>
        </w:rPr>
        <w:t xml:space="preserve">Информацию, изложенную в докладе </w:t>
      </w:r>
      <w:r>
        <w:rPr>
          <w:rFonts w:ascii="Times New Roman" w:hAnsi="Times New Roman" w:cs="Times New Roman"/>
          <w:spacing w:val="-10"/>
          <w:sz w:val="24"/>
          <w:szCs w:val="24"/>
        </w:rPr>
        <w:t>заместителем директора по учебной работе</w:t>
      </w:r>
      <w:r w:rsidRPr="00F82137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F82137" w:rsidRPr="00F82137" w:rsidRDefault="00F82137" w:rsidP="00F82137">
      <w:pPr>
        <w:pStyle w:val="22"/>
        <w:tabs>
          <w:tab w:val="num" w:pos="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 xml:space="preserve">2. Заведующим кафедрами, </w:t>
      </w:r>
      <w:r w:rsidRPr="00F82137">
        <w:rPr>
          <w:rFonts w:ascii="Times New Roman" w:hAnsi="Times New Roman" w:cs="Times New Roman"/>
          <w:spacing w:val="-4"/>
          <w:sz w:val="24"/>
          <w:szCs w:val="24"/>
        </w:rPr>
        <w:t>председателям УМКН</w:t>
      </w:r>
      <w:r w:rsidRPr="00F82137">
        <w:rPr>
          <w:rFonts w:ascii="Times New Roman" w:hAnsi="Times New Roman" w:cs="Times New Roman"/>
          <w:sz w:val="24"/>
          <w:szCs w:val="24"/>
        </w:rPr>
        <w:t>:</w:t>
      </w:r>
    </w:p>
    <w:p w:rsidR="00F82137" w:rsidRPr="00F82137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на заседаниях кафедр, комиссий обсудить итоги промежуточной и итогов</w:t>
      </w:r>
      <w:r w:rsidR="001C1D16">
        <w:rPr>
          <w:rFonts w:ascii="Times New Roman" w:hAnsi="Times New Roman" w:cs="Times New Roman"/>
          <w:sz w:val="24"/>
          <w:szCs w:val="24"/>
        </w:rPr>
        <w:t xml:space="preserve">ой аттестаций студентов, итоги </w:t>
      </w:r>
      <w:proofErr w:type="gramStart"/>
      <w:r w:rsidRPr="00F82137">
        <w:rPr>
          <w:rFonts w:ascii="Times New Roman" w:hAnsi="Times New Roman" w:cs="Times New Roman"/>
          <w:sz w:val="24"/>
          <w:szCs w:val="24"/>
        </w:rPr>
        <w:t>практик  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/2020</w:t>
      </w:r>
      <w:r w:rsidRPr="00F82137">
        <w:rPr>
          <w:rFonts w:ascii="Times New Roman" w:hAnsi="Times New Roman" w:cs="Times New Roman"/>
          <w:sz w:val="24"/>
          <w:szCs w:val="24"/>
        </w:rPr>
        <w:t xml:space="preserve"> учебного года, наметить конкретные меры по устранению недостатков, отмеченных в отчетах ГЭК;</w:t>
      </w:r>
    </w:p>
    <w:p w:rsidR="00F82137" w:rsidRPr="00F82137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контролировать организацию и ход выполнения студентами курсовых проектов, курсовых работ, других видов самостоятельной работы, осуществлять текущий контроль хода подготовки к защите выпускных квалификационных работ;</w:t>
      </w:r>
    </w:p>
    <w:p w:rsidR="00F82137" w:rsidRPr="00F82137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проводить работу по организации практики студентов преимущественно на ведущих промышленных предприятиях, отслеживать своевременное оформление приказов на практику и представление отчетов руководителей практик в отдел организации учебного процесса;</w:t>
      </w:r>
    </w:p>
    <w:p w:rsidR="00F82137" w:rsidRPr="00F82137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осуществлять постоянный контроль качества проведения учебных занятий и консультаций преподавателями кафедр;</w:t>
      </w:r>
    </w:p>
    <w:p w:rsidR="00F82137" w:rsidRPr="00F82137" w:rsidRDefault="00F82137" w:rsidP="00F82137">
      <w:pPr>
        <w:pStyle w:val="22"/>
        <w:numPr>
          <w:ilvl w:val="1"/>
          <w:numId w:val="4"/>
        </w:numPr>
        <w:tabs>
          <w:tab w:val="clear" w:pos="832"/>
          <w:tab w:val="num" w:pos="0"/>
          <w:tab w:val="left" w:pos="100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контролировать наличие и актуальность фондов оценочных средств, расширить применение компьютерного тестирования студентов очной и заочной форм обучения во время проведения текущего контроля знаний и промежуточной аттестации.</w:t>
      </w:r>
    </w:p>
    <w:p w:rsidR="00F82137" w:rsidRPr="00F82137" w:rsidRDefault="00F82137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13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5475B6">
        <w:rPr>
          <w:rFonts w:ascii="Times New Roman" w:hAnsi="Times New Roman" w:cs="Times New Roman"/>
          <w:color w:val="000000"/>
          <w:sz w:val="24"/>
          <w:szCs w:val="24"/>
        </w:rPr>
        <w:t>Заместителю директора по учебной работе (Рябовой О.В.</w:t>
      </w:r>
      <w:r w:rsidRPr="00F82137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</w:p>
    <w:p w:rsidR="00F82137" w:rsidRPr="00F82137" w:rsidRDefault="00F82137" w:rsidP="00F82137">
      <w:pPr>
        <w:pStyle w:val="22"/>
        <w:tabs>
          <w:tab w:val="num" w:pos="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3.1. осуществлять контроль текущей посещаемости занятий и успеваемости студентов института;</w:t>
      </w:r>
    </w:p>
    <w:p w:rsidR="00F82137" w:rsidRPr="00F82137" w:rsidRDefault="00F82137" w:rsidP="00F82137">
      <w:pPr>
        <w:pStyle w:val="22"/>
        <w:tabs>
          <w:tab w:val="num" w:pos="0"/>
        </w:tabs>
        <w:ind w:right="1" w:firstLine="500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3.2. контролировать организацию и проведение преподавателями института всех видов учебных занятий;</w:t>
      </w:r>
    </w:p>
    <w:p w:rsidR="00F82137" w:rsidRPr="00F82137" w:rsidRDefault="00F82137" w:rsidP="00F82137">
      <w:pPr>
        <w:widowControl/>
        <w:shd w:val="clear" w:color="auto" w:fill="FFFFFF"/>
        <w:tabs>
          <w:tab w:val="num" w:pos="0"/>
          <w:tab w:val="left" w:pos="422"/>
        </w:tabs>
        <w:autoSpaceDE/>
        <w:autoSpaceDN/>
        <w:adjustRightInd/>
        <w:ind w:right="-32" w:firstLine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137">
        <w:rPr>
          <w:rFonts w:ascii="Times New Roman" w:hAnsi="Times New Roman" w:cs="Times New Roman"/>
          <w:color w:val="000000"/>
          <w:sz w:val="24"/>
          <w:szCs w:val="24"/>
        </w:rPr>
        <w:t>3.3. продолжить практику информирования родителей студентов о пропусках занятий и академической успеваемости.</w:t>
      </w:r>
    </w:p>
    <w:p w:rsidR="00F82137" w:rsidRDefault="00F82137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080DA7" w:rsidRDefault="00080DA7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080DA7" w:rsidRDefault="00080DA7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D33B38" w:rsidRDefault="00D33B38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 xml:space="preserve">Председатель УС                                  </w:t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  <w:t xml:space="preserve">Р.В. Грибов </w:t>
      </w:r>
    </w:p>
    <w:p w:rsidR="00D33B38" w:rsidRPr="00D33B38" w:rsidRDefault="00D33B38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080DA7" w:rsidRDefault="00080DA7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080DA7" w:rsidRDefault="00080DA7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</w:p>
    <w:p w:rsidR="00D33B38" w:rsidRPr="00D33B38" w:rsidRDefault="00D33B38" w:rsidP="00D33B38">
      <w:pPr>
        <w:widowControl/>
        <w:shd w:val="clear" w:color="auto" w:fill="FFFFFF"/>
        <w:tabs>
          <w:tab w:val="left" w:pos="422"/>
        </w:tabs>
        <w:autoSpaceDE/>
        <w:adjustRightInd/>
        <w:spacing w:line="274" w:lineRule="exact"/>
        <w:ind w:left="72" w:right="-32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D33B38">
        <w:rPr>
          <w:rFonts w:ascii="Times New Roman" w:hAnsi="Times New Roman" w:cs="Times New Roman"/>
          <w:sz w:val="24"/>
          <w:szCs w:val="24"/>
        </w:rPr>
        <w:t xml:space="preserve">Ученый секретарь УС                      </w:t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</w:r>
      <w:r w:rsidRPr="00D33B38">
        <w:rPr>
          <w:rFonts w:ascii="Times New Roman" w:hAnsi="Times New Roman" w:cs="Times New Roman"/>
          <w:sz w:val="24"/>
          <w:szCs w:val="24"/>
        </w:rPr>
        <w:tab/>
        <w:t>М.Г. Шнайдер</w:t>
      </w:r>
    </w:p>
    <w:p w:rsidR="00D33B38" w:rsidRPr="00D33B38" w:rsidRDefault="00D33B38" w:rsidP="00D33B38">
      <w:pPr>
        <w:rPr>
          <w:rFonts w:ascii="Times New Roman" w:hAnsi="Times New Roman" w:cs="Times New Roman"/>
        </w:rPr>
      </w:pPr>
    </w:p>
    <w:p w:rsidR="00FD526E" w:rsidRPr="00D33B38" w:rsidRDefault="00FD526E">
      <w:pPr>
        <w:rPr>
          <w:rFonts w:ascii="Times New Roman" w:hAnsi="Times New Roman" w:cs="Times New Roman"/>
        </w:rPr>
      </w:pPr>
    </w:p>
    <w:sectPr w:rsidR="00FD526E" w:rsidRPr="00D3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5808"/>
    <w:multiLevelType w:val="multilevel"/>
    <w:tmpl w:val="5352F1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9114521"/>
    <w:multiLevelType w:val="hybridMultilevel"/>
    <w:tmpl w:val="A4921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15675"/>
    <w:multiLevelType w:val="hybridMultilevel"/>
    <w:tmpl w:val="37E01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5234BF"/>
    <w:multiLevelType w:val="multilevel"/>
    <w:tmpl w:val="0676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03"/>
    <w:rsid w:val="00080DA7"/>
    <w:rsid w:val="00135E19"/>
    <w:rsid w:val="00184E8D"/>
    <w:rsid w:val="001C1D16"/>
    <w:rsid w:val="0021147A"/>
    <w:rsid w:val="00235631"/>
    <w:rsid w:val="00243804"/>
    <w:rsid w:val="00256DA0"/>
    <w:rsid w:val="002F5E7C"/>
    <w:rsid w:val="00397298"/>
    <w:rsid w:val="004D1303"/>
    <w:rsid w:val="004E1973"/>
    <w:rsid w:val="005475B6"/>
    <w:rsid w:val="008A26A1"/>
    <w:rsid w:val="008B497F"/>
    <w:rsid w:val="009A78E3"/>
    <w:rsid w:val="009D2AF8"/>
    <w:rsid w:val="009F3E80"/>
    <w:rsid w:val="00A2226A"/>
    <w:rsid w:val="00A40543"/>
    <w:rsid w:val="00B861DA"/>
    <w:rsid w:val="00BB1DE5"/>
    <w:rsid w:val="00C7290F"/>
    <w:rsid w:val="00C80397"/>
    <w:rsid w:val="00D33B38"/>
    <w:rsid w:val="00D979EE"/>
    <w:rsid w:val="00E27EFD"/>
    <w:rsid w:val="00E41908"/>
    <w:rsid w:val="00E761BC"/>
    <w:rsid w:val="00F25F88"/>
    <w:rsid w:val="00F82137"/>
    <w:rsid w:val="00FA3458"/>
    <w:rsid w:val="00FB5381"/>
    <w:rsid w:val="00FD526E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43516-33CD-4FFB-BACF-13D5DEC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631"/>
    <w:pPr>
      <w:keepNext/>
      <w:widowControl/>
      <w:autoSpaceDE/>
      <w:autoSpaceDN/>
      <w:adjustRightInd/>
      <w:ind w:right="-766" w:firstLine="720"/>
      <w:jc w:val="both"/>
      <w:outlineLvl w:val="1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4D1303"/>
    <w:rPr>
      <w:b/>
      <w:sz w:val="28"/>
      <w:lang w:eastAsia="ru-RU"/>
    </w:rPr>
  </w:style>
  <w:style w:type="paragraph" w:styleId="a4">
    <w:name w:val="Title"/>
    <w:basedOn w:val="a"/>
    <w:link w:val="a3"/>
    <w:qFormat/>
    <w:rsid w:val="004D130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">
    <w:name w:val="Название Знак1"/>
    <w:basedOn w:val="a0"/>
    <w:uiPriority w:val="10"/>
    <w:rsid w:val="004D13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с отступом 2 Знак"/>
    <w:link w:val="22"/>
    <w:locked/>
    <w:rsid w:val="00D33B38"/>
    <w:rPr>
      <w:color w:val="000000"/>
      <w:sz w:val="28"/>
    </w:rPr>
  </w:style>
  <w:style w:type="paragraph" w:styleId="22">
    <w:name w:val="Body Text Indent 2"/>
    <w:basedOn w:val="a"/>
    <w:link w:val="21"/>
    <w:rsid w:val="00D33B38"/>
    <w:pPr>
      <w:widowControl/>
      <w:autoSpaceDE/>
      <w:autoSpaceDN/>
      <w:adjustRightInd/>
      <w:ind w:right="142" w:firstLine="720"/>
      <w:jc w:val="both"/>
    </w:pPr>
    <w:rPr>
      <w:rFonts w:asciiTheme="minorHAnsi" w:eastAsiaTheme="minorHAnsi" w:hAnsiTheme="minorHAnsi" w:cstheme="minorBidi"/>
      <w:color w:val="000000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33B38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9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2356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356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A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233E-E2D0-4695-8AF9-84338840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6</cp:revision>
  <cp:lastPrinted>2020-10-26T08:07:00Z</cp:lastPrinted>
  <dcterms:created xsi:type="dcterms:W3CDTF">2020-10-11T03:47:00Z</dcterms:created>
  <dcterms:modified xsi:type="dcterms:W3CDTF">2020-10-11T03:58:00Z</dcterms:modified>
</cp:coreProperties>
</file>